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kern w:val="2"/>
          <w:sz w:val="21"/>
        </w:rPr>
        <w:id w:val="290559648"/>
        <w:docPartObj>
          <w:docPartGallery w:val="Cover Pages"/>
          <w:docPartUnique/>
        </w:docPartObj>
      </w:sdtPr>
      <w:sdtEndPr>
        <w:rPr>
          <w:sz w:val="44"/>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6829"/>
          </w:tblGrid>
          <w:tr w:rsidR="00E02FF6">
            <w:tc>
              <w:tcPr>
                <w:tcW w:w="7672" w:type="dxa"/>
                <w:tcMar>
                  <w:top w:w="216" w:type="dxa"/>
                  <w:left w:w="115" w:type="dxa"/>
                  <w:bottom w:w="216" w:type="dxa"/>
                  <w:right w:w="115" w:type="dxa"/>
                </w:tcMar>
              </w:tcPr>
              <w:p w:rsidR="00E02FF6" w:rsidRDefault="00E02FF6" w:rsidP="00E02FF6">
                <w:pPr>
                  <w:pStyle w:val="ab"/>
                  <w:rPr>
                    <w:rFonts w:asciiTheme="majorHAnsi" w:eastAsiaTheme="majorEastAsia" w:hAnsiTheme="majorHAnsi" w:cstheme="majorBidi"/>
                  </w:rPr>
                </w:pPr>
              </w:p>
            </w:tc>
          </w:tr>
          <w:tr w:rsidR="00E02FF6">
            <w:tc>
              <w:tcPr>
                <w:tcW w:w="7672" w:type="dxa"/>
              </w:tcPr>
              <w:sdt>
                <w:sdtPr>
                  <w:rPr>
                    <w:rFonts w:asciiTheme="majorHAnsi" w:eastAsiaTheme="majorEastAsia" w:hAnsiTheme="majorHAnsi" w:cstheme="majorBidi" w:hint="eastAsia"/>
                    <w:color w:val="4F81BD" w:themeColor="accent1"/>
                    <w:sz w:val="56"/>
                    <w:szCs w:val="56"/>
                  </w:rPr>
                  <w:alias w:val="标题"/>
                  <w:id w:val="13406919"/>
                  <w:dataBinding w:prefixMappings="xmlns:ns0='http://schemas.openxmlformats.org/package/2006/metadata/core-properties' xmlns:ns1='http://purl.org/dc/elements/1.1/'" w:xpath="/ns0:coreProperties[1]/ns1:title[1]" w:storeItemID="{6C3C8BC8-F283-45AE-878A-BAB7291924A1}"/>
                  <w:text/>
                </w:sdtPr>
                <w:sdtEndPr/>
                <w:sdtContent>
                  <w:p w:rsidR="00E02FF6" w:rsidRDefault="00E02FF6" w:rsidP="00E02FF6">
                    <w:pPr>
                      <w:pStyle w:val="ab"/>
                      <w:jc w:val="center"/>
                      <w:rPr>
                        <w:rFonts w:asciiTheme="majorHAnsi" w:eastAsiaTheme="majorEastAsia" w:hAnsiTheme="majorHAnsi" w:cstheme="majorBidi"/>
                        <w:color w:val="4F81BD" w:themeColor="accent1"/>
                        <w:sz w:val="80"/>
                        <w:szCs w:val="80"/>
                      </w:rPr>
                    </w:pPr>
                    <w:r w:rsidRPr="00E02FF6">
                      <w:rPr>
                        <w:rFonts w:asciiTheme="majorHAnsi" w:eastAsiaTheme="majorEastAsia" w:hAnsiTheme="majorHAnsi" w:cstheme="majorBidi" w:hint="eastAsia"/>
                        <w:color w:val="4F81BD" w:themeColor="accent1"/>
                        <w:sz w:val="56"/>
                        <w:szCs w:val="56"/>
                      </w:rPr>
                      <w:t>政府和社会资本合作（</w:t>
                    </w:r>
                    <w:r w:rsidRPr="00E02FF6">
                      <w:rPr>
                        <w:rFonts w:asciiTheme="majorHAnsi" w:eastAsiaTheme="majorEastAsia" w:hAnsiTheme="majorHAnsi" w:cstheme="majorBidi" w:hint="eastAsia"/>
                        <w:color w:val="4F81BD" w:themeColor="accent1"/>
                        <w:sz w:val="56"/>
                        <w:szCs w:val="56"/>
                      </w:rPr>
                      <w:t>PPP</w:t>
                    </w:r>
                    <w:r w:rsidRPr="00E02FF6">
                      <w:rPr>
                        <w:rFonts w:asciiTheme="majorHAnsi" w:eastAsiaTheme="majorEastAsia" w:hAnsiTheme="majorHAnsi" w:cstheme="majorBidi" w:hint="eastAsia"/>
                        <w:color w:val="4F81BD" w:themeColor="accent1"/>
                        <w:sz w:val="56"/>
                        <w:szCs w:val="56"/>
                      </w:rPr>
                      <w:t>）法律法规、政策汇编</w:t>
                    </w:r>
                  </w:p>
                </w:sdtContent>
              </w:sdt>
            </w:tc>
          </w:tr>
          <w:tr w:rsidR="00E02FF6">
            <w:tc>
              <w:tcPr>
                <w:tcW w:w="7672" w:type="dxa"/>
                <w:tcMar>
                  <w:top w:w="216" w:type="dxa"/>
                  <w:left w:w="115" w:type="dxa"/>
                  <w:bottom w:w="216" w:type="dxa"/>
                  <w:right w:w="115" w:type="dxa"/>
                </w:tcMar>
              </w:tcPr>
              <w:p w:rsidR="00E02FF6" w:rsidRDefault="00E02FF6">
                <w:pPr>
                  <w:pStyle w:val="ab"/>
                  <w:rPr>
                    <w:rFonts w:asciiTheme="majorHAnsi" w:eastAsiaTheme="majorEastAsia" w:hAnsiTheme="majorHAnsi" w:cstheme="majorBidi"/>
                  </w:rPr>
                </w:pPr>
              </w:p>
              <w:p w:rsidR="00E02FF6" w:rsidRDefault="00E02FF6">
                <w:pPr>
                  <w:pStyle w:val="ab"/>
                  <w:rPr>
                    <w:rFonts w:asciiTheme="majorHAnsi" w:eastAsiaTheme="majorEastAsia" w:hAnsiTheme="majorHAnsi" w:cstheme="majorBidi"/>
                  </w:rPr>
                </w:pPr>
              </w:p>
              <w:p w:rsidR="00E02FF6" w:rsidRDefault="00E02FF6">
                <w:pPr>
                  <w:pStyle w:val="ab"/>
                  <w:rPr>
                    <w:rFonts w:asciiTheme="majorHAnsi" w:eastAsiaTheme="majorEastAsia" w:hAnsiTheme="majorHAnsi" w:cstheme="majorBidi"/>
                  </w:rPr>
                </w:pPr>
              </w:p>
              <w:p w:rsidR="00E02FF6" w:rsidRDefault="00E02FF6">
                <w:pPr>
                  <w:pStyle w:val="ab"/>
                  <w:rPr>
                    <w:rFonts w:asciiTheme="majorHAnsi" w:eastAsiaTheme="majorEastAsia" w:hAnsiTheme="majorHAnsi" w:cstheme="majorBidi"/>
                  </w:rPr>
                </w:pPr>
              </w:p>
              <w:p w:rsidR="00E02FF6" w:rsidRPr="00E02FF6" w:rsidRDefault="00E02FF6" w:rsidP="00E02FF6">
                <w:pPr>
                  <w:pStyle w:val="ab"/>
                  <w:jc w:val="center"/>
                  <w:rPr>
                    <w:rFonts w:asciiTheme="majorHAnsi" w:eastAsiaTheme="majorEastAsia" w:hAnsiTheme="majorHAnsi" w:cstheme="majorBidi"/>
                    <w:sz w:val="44"/>
                    <w:szCs w:val="44"/>
                  </w:rPr>
                </w:pPr>
                <w:r w:rsidRPr="00E02FF6">
                  <w:rPr>
                    <w:rFonts w:asciiTheme="majorHAnsi" w:eastAsiaTheme="majorEastAsia" w:hAnsiTheme="majorHAnsi" w:cstheme="majorBidi" w:hint="eastAsia"/>
                    <w:sz w:val="44"/>
                    <w:szCs w:val="44"/>
                  </w:rPr>
                  <w:t>第二部分</w:t>
                </w:r>
                <w:r w:rsidRPr="00E02FF6">
                  <w:rPr>
                    <w:rFonts w:asciiTheme="majorHAnsi" w:eastAsiaTheme="majorEastAsia" w:hAnsiTheme="majorHAnsi" w:cstheme="majorBidi" w:hint="eastAsia"/>
                    <w:sz w:val="44"/>
                    <w:szCs w:val="44"/>
                  </w:rPr>
                  <w:t xml:space="preserve"> PPP</w:t>
                </w:r>
                <w:r w:rsidRPr="00E02FF6">
                  <w:rPr>
                    <w:rFonts w:asciiTheme="majorHAnsi" w:eastAsiaTheme="majorEastAsia" w:hAnsiTheme="majorHAnsi" w:cstheme="majorBidi" w:hint="eastAsia"/>
                    <w:sz w:val="44"/>
                    <w:szCs w:val="44"/>
                  </w:rPr>
                  <w:t>融资政策与土地</w:t>
                </w:r>
              </w:p>
            </w:tc>
          </w:tr>
        </w:tbl>
        <w:p w:rsidR="00E02FF6" w:rsidRDefault="00E02FF6"/>
        <w:p w:rsidR="00E02FF6" w:rsidRDefault="00E02FF6"/>
        <w:tbl>
          <w:tblPr>
            <w:tblpPr w:leftFromText="187" w:rightFromText="187" w:horzAnchor="margin" w:tblpXSpec="center" w:tblpYSpec="bottom"/>
            <w:tblW w:w="4000" w:type="pct"/>
            <w:tblLook w:val="04A0" w:firstRow="1" w:lastRow="0" w:firstColumn="1" w:lastColumn="0" w:noHBand="0" w:noVBand="1"/>
          </w:tblPr>
          <w:tblGrid>
            <w:gridCol w:w="6829"/>
          </w:tblGrid>
          <w:tr w:rsidR="00E02FF6">
            <w:tc>
              <w:tcPr>
                <w:tcW w:w="7672" w:type="dxa"/>
                <w:tcMar>
                  <w:top w:w="216" w:type="dxa"/>
                  <w:left w:w="115" w:type="dxa"/>
                  <w:bottom w:w="216" w:type="dxa"/>
                  <w:right w:w="115" w:type="dxa"/>
                </w:tcMar>
              </w:tcPr>
              <w:p w:rsidR="00E02FF6" w:rsidRDefault="00E02FF6">
                <w:pPr>
                  <w:pStyle w:val="ab"/>
                  <w:rPr>
                    <w:color w:val="4F81BD" w:themeColor="accent1"/>
                  </w:rPr>
                </w:pPr>
              </w:p>
            </w:tc>
          </w:tr>
        </w:tbl>
        <w:p w:rsidR="00E02FF6" w:rsidRDefault="00E02FF6"/>
        <w:p w:rsidR="00E02FF6" w:rsidRDefault="00E02FF6">
          <w:pPr>
            <w:widowControl/>
            <w:jc w:val="left"/>
            <w:rPr>
              <w:rFonts w:asciiTheme="majorHAnsi" w:eastAsiaTheme="majorEastAsia" w:hAnsiTheme="majorHAnsi" w:cstheme="majorBidi"/>
              <w:kern w:val="0"/>
              <w:sz w:val="44"/>
            </w:rPr>
          </w:pPr>
          <w:r>
            <w:rPr>
              <w:rFonts w:asciiTheme="majorHAnsi" w:eastAsiaTheme="majorEastAsia" w:hAnsiTheme="majorHAnsi" w:cstheme="majorBidi"/>
              <w:kern w:val="0"/>
              <w:sz w:val="44"/>
            </w:rPr>
            <w:br w:type="page"/>
          </w:r>
        </w:p>
        <w:bookmarkStart w:id="0" w:name="_GoBack" w:displacedByCustomXml="next"/>
        <w:bookmarkEnd w:id="0" w:displacedByCustomXml="next"/>
      </w:sdtContent>
    </w:sdt>
    <w:sdt>
      <w:sdtPr>
        <w:rPr>
          <w:rFonts w:asciiTheme="minorHAnsi" w:eastAsiaTheme="minorEastAsia" w:hAnsiTheme="minorHAnsi" w:cstheme="minorBidi"/>
          <w:b w:val="0"/>
          <w:bCs w:val="0"/>
          <w:color w:val="auto"/>
          <w:kern w:val="2"/>
          <w:sz w:val="21"/>
          <w:szCs w:val="22"/>
          <w:lang w:val="zh-CN"/>
        </w:rPr>
        <w:id w:val="-373391523"/>
        <w:docPartObj>
          <w:docPartGallery w:val="Table of Contents"/>
          <w:docPartUnique/>
        </w:docPartObj>
      </w:sdtPr>
      <w:sdtEndPr/>
      <w:sdtContent>
        <w:p w:rsidR="002746BC" w:rsidRDefault="00E02FF6" w:rsidP="00E02FF6">
          <w:pPr>
            <w:pStyle w:val="TOC"/>
            <w:jc w:val="center"/>
            <w:rPr>
              <w:noProof/>
            </w:rPr>
          </w:pPr>
          <w:r w:rsidRPr="00BB0367">
            <w:rPr>
              <w:lang w:val="zh-CN"/>
            </w:rPr>
            <w:t>目录</w:t>
          </w:r>
          <w:r w:rsidRPr="00BB0367">
            <w:fldChar w:fldCharType="begin"/>
          </w:r>
          <w:r w:rsidRPr="00BB0367">
            <w:instrText xml:space="preserve"> TOC \o "1-3" \h \z \u </w:instrText>
          </w:r>
          <w:r w:rsidRPr="00BB0367">
            <w:fldChar w:fldCharType="separate"/>
          </w:r>
        </w:p>
        <w:p w:rsidR="002746BC" w:rsidRDefault="002746BC">
          <w:pPr>
            <w:pStyle w:val="20"/>
            <w:tabs>
              <w:tab w:val="right" w:leader="dot" w:pos="8296"/>
            </w:tabs>
            <w:rPr>
              <w:noProof/>
            </w:rPr>
          </w:pPr>
          <w:hyperlink w:anchor="_Toc12864166" w:history="1">
            <w:r w:rsidRPr="00E5579B">
              <w:rPr>
                <w:rStyle w:val="a7"/>
                <w:rFonts w:hint="eastAsia"/>
                <w:noProof/>
              </w:rPr>
              <w:t>（一）政府监督规范类</w:t>
            </w:r>
            <w:r>
              <w:rPr>
                <w:noProof/>
                <w:webHidden/>
              </w:rPr>
              <w:tab/>
            </w:r>
            <w:r>
              <w:rPr>
                <w:noProof/>
                <w:webHidden/>
              </w:rPr>
              <w:fldChar w:fldCharType="begin"/>
            </w:r>
            <w:r>
              <w:rPr>
                <w:noProof/>
                <w:webHidden/>
              </w:rPr>
              <w:instrText xml:space="preserve"> PAGEREF _Toc12864166 \h </w:instrText>
            </w:r>
            <w:r>
              <w:rPr>
                <w:noProof/>
                <w:webHidden/>
              </w:rPr>
            </w:r>
            <w:r>
              <w:rPr>
                <w:noProof/>
                <w:webHidden/>
              </w:rPr>
              <w:fldChar w:fldCharType="separate"/>
            </w:r>
            <w:r w:rsidR="000958AB">
              <w:rPr>
                <w:noProof/>
                <w:webHidden/>
              </w:rPr>
              <w:t>6</w:t>
            </w:r>
            <w:r>
              <w:rPr>
                <w:noProof/>
                <w:webHidden/>
              </w:rPr>
              <w:fldChar w:fldCharType="end"/>
            </w:r>
          </w:hyperlink>
        </w:p>
        <w:p w:rsidR="002746BC" w:rsidRDefault="002746BC">
          <w:pPr>
            <w:pStyle w:val="20"/>
            <w:tabs>
              <w:tab w:val="right" w:leader="dot" w:pos="8296"/>
            </w:tabs>
            <w:rPr>
              <w:noProof/>
            </w:rPr>
          </w:pPr>
          <w:hyperlink w:anchor="_Toc12864167" w:history="1">
            <w:r w:rsidRPr="00E5579B">
              <w:rPr>
                <w:rStyle w:val="a7"/>
                <w:noProof/>
              </w:rPr>
              <w:t>1</w:t>
            </w:r>
            <w:r w:rsidRPr="00E5579B">
              <w:rPr>
                <w:rStyle w:val="a7"/>
                <w:rFonts w:hint="eastAsia"/>
                <w:noProof/>
              </w:rPr>
              <w:t>、国务院文件</w:t>
            </w:r>
            <w:r>
              <w:rPr>
                <w:noProof/>
                <w:webHidden/>
              </w:rPr>
              <w:tab/>
            </w:r>
            <w:r>
              <w:rPr>
                <w:noProof/>
                <w:webHidden/>
              </w:rPr>
              <w:fldChar w:fldCharType="begin"/>
            </w:r>
            <w:r>
              <w:rPr>
                <w:noProof/>
                <w:webHidden/>
              </w:rPr>
              <w:instrText xml:space="preserve"> PAGEREF _Toc12864167 \h </w:instrText>
            </w:r>
            <w:r>
              <w:rPr>
                <w:noProof/>
                <w:webHidden/>
              </w:rPr>
            </w:r>
            <w:r>
              <w:rPr>
                <w:noProof/>
                <w:webHidden/>
              </w:rPr>
              <w:fldChar w:fldCharType="separate"/>
            </w:r>
            <w:r w:rsidR="000958AB">
              <w:rPr>
                <w:noProof/>
                <w:webHidden/>
              </w:rPr>
              <w:t>6</w:t>
            </w:r>
            <w:r>
              <w:rPr>
                <w:noProof/>
                <w:webHidden/>
              </w:rPr>
              <w:fldChar w:fldCharType="end"/>
            </w:r>
          </w:hyperlink>
        </w:p>
        <w:p w:rsidR="002746BC" w:rsidRDefault="002746BC">
          <w:pPr>
            <w:pStyle w:val="30"/>
            <w:rPr>
              <w:noProof/>
            </w:rPr>
          </w:pPr>
          <w:hyperlink w:anchor="_Toc12864168" w:history="1">
            <w:r w:rsidRPr="00E5579B">
              <w:rPr>
                <w:rStyle w:val="a7"/>
                <w:rFonts w:hint="eastAsia"/>
                <w:noProof/>
                <w:lang w:val="zh-CN"/>
              </w:rPr>
              <w:t>国务院办公厅关于印发地方政府性债务风险应急处置预案的通知（国办函〔</w:t>
            </w:r>
            <w:r w:rsidRPr="00E5579B">
              <w:rPr>
                <w:rStyle w:val="a7"/>
                <w:noProof/>
                <w:lang w:val="zh-CN"/>
              </w:rPr>
              <w:t>2016</w:t>
            </w:r>
            <w:r w:rsidRPr="00E5579B">
              <w:rPr>
                <w:rStyle w:val="a7"/>
                <w:rFonts w:hint="eastAsia"/>
                <w:noProof/>
                <w:lang w:val="zh-CN"/>
              </w:rPr>
              <w:t>〕</w:t>
            </w:r>
            <w:r w:rsidRPr="00E5579B">
              <w:rPr>
                <w:rStyle w:val="a7"/>
                <w:noProof/>
                <w:lang w:val="zh-CN"/>
              </w:rPr>
              <w:t>88</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_Toc12864168 \h </w:instrText>
            </w:r>
            <w:r>
              <w:rPr>
                <w:noProof/>
                <w:webHidden/>
              </w:rPr>
            </w:r>
            <w:r>
              <w:rPr>
                <w:noProof/>
                <w:webHidden/>
              </w:rPr>
              <w:fldChar w:fldCharType="separate"/>
            </w:r>
            <w:r w:rsidR="000958AB">
              <w:rPr>
                <w:noProof/>
                <w:webHidden/>
              </w:rPr>
              <w:t>7</w:t>
            </w:r>
            <w:r>
              <w:rPr>
                <w:noProof/>
                <w:webHidden/>
              </w:rPr>
              <w:fldChar w:fldCharType="end"/>
            </w:r>
          </w:hyperlink>
        </w:p>
        <w:p w:rsidR="002746BC" w:rsidRDefault="002746BC">
          <w:pPr>
            <w:pStyle w:val="30"/>
            <w:rPr>
              <w:noProof/>
            </w:rPr>
          </w:pPr>
          <w:hyperlink w:anchor="_Toc12864169" w:history="1">
            <w:r w:rsidRPr="00E5579B">
              <w:rPr>
                <w:rStyle w:val="a7"/>
                <w:rFonts w:hint="eastAsia"/>
                <w:noProof/>
                <w:lang w:val="zh-CN"/>
              </w:rPr>
              <w:t>国务院关于印发推进财政资金统筹适用方案的通知（国发〔</w:t>
            </w:r>
            <w:r w:rsidRPr="00E5579B">
              <w:rPr>
                <w:rStyle w:val="a7"/>
                <w:noProof/>
                <w:lang w:val="zh-CN"/>
              </w:rPr>
              <w:t>2015</w:t>
            </w:r>
            <w:r w:rsidRPr="00E5579B">
              <w:rPr>
                <w:rStyle w:val="a7"/>
                <w:rFonts w:hint="eastAsia"/>
                <w:noProof/>
                <w:lang w:val="zh-CN"/>
              </w:rPr>
              <w:t>〕</w:t>
            </w:r>
            <w:r w:rsidRPr="00E5579B">
              <w:rPr>
                <w:rStyle w:val="a7"/>
                <w:noProof/>
                <w:lang w:val="zh-CN"/>
              </w:rPr>
              <w:t>35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_Toc12864169 \h </w:instrText>
            </w:r>
            <w:r>
              <w:rPr>
                <w:noProof/>
                <w:webHidden/>
              </w:rPr>
            </w:r>
            <w:r>
              <w:rPr>
                <w:noProof/>
                <w:webHidden/>
              </w:rPr>
              <w:fldChar w:fldCharType="separate"/>
            </w:r>
            <w:r w:rsidR="000958AB">
              <w:rPr>
                <w:noProof/>
                <w:webHidden/>
              </w:rPr>
              <w:t>29</w:t>
            </w:r>
            <w:r>
              <w:rPr>
                <w:noProof/>
                <w:webHidden/>
              </w:rPr>
              <w:fldChar w:fldCharType="end"/>
            </w:r>
          </w:hyperlink>
        </w:p>
        <w:p w:rsidR="002746BC" w:rsidRDefault="002746BC">
          <w:pPr>
            <w:pStyle w:val="30"/>
            <w:rPr>
              <w:noProof/>
            </w:rPr>
          </w:pPr>
          <w:hyperlink w:anchor="_Toc12864170" w:history="1">
            <w:r w:rsidRPr="00E5579B">
              <w:rPr>
                <w:rStyle w:val="a7"/>
                <w:rFonts w:hint="eastAsia"/>
                <w:noProof/>
                <w:lang w:val="zh-CN"/>
              </w:rPr>
              <w:t>国务院办公厅转发财政部人民银行银监会关于妥善解决地方政府融资平台公司在建项目后续融资问题意见的通知（国办发〔</w:t>
            </w:r>
            <w:r w:rsidRPr="00E5579B">
              <w:rPr>
                <w:rStyle w:val="a7"/>
                <w:noProof/>
                <w:lang w:val="zh-CN"/>
              </w:rPr>
              <w:t>2015</w:t>
            </w:r>
            <w:r w:rsidRPr="00E5579B">
              <w:rPr>
                <w:rStyle w:val="a7"/>
                <w:rFonts w:hint="eastAsia"/>
                <w:noProof/>
                <w:lang w:val="zh-CN"/>
              </w:rPr>
              <w:t>〕</w:t>
            </w:r>
            <w:r w:rsidRPr="00E5579B">
              <w:rPr>
                <w:rStyle w:val="a7"/>
                <w:noProof/>
                <w:lang w:val="zh-CN"/>
              </w:rPr>
              <w:t>40</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_Toc12864170 \h </w:instrText>
            </w:r>
            <w:r>
              <w:rPr>
                <w:noProof/>
                <w:webHidden/>
              </w:rPr>
            </w:r>
            <w:r>
              <w:rPr>
                <w:noProof/>
                <w:webHidden/>
              </w:rPr>
              <w:fldChar w:fldCharType="separate"/>
            </w:r>
            <w:r w:rsidR="000958AB">
              <w:rPr>
                <w:noProof/>
                <w:webHidden/>
              </w:rPr>
              <w:t>41</w:t>
            </w:r>
            <w:r>
              <w:rPr>
                <w:noProof/>
                <w:webHidden/>
              </w:rPr>
              <w:fldChar w:fldCharType="end"/>
            </w:r>
          </w:hyperlink>
        </w:p>
        <w:p w:rsidR="002746BC" w:rsidRDefault="002746BC">
          <w:pPr>
            <w:pStyle w:val="30"/>
            <w:rPr>
              <w:noProof/>
            </w:rPr>
          </w:pPr>
          <w:hyperlink w:anchor="_Toc12864171" w:history="1">
            <w:r w:rsidRPr="00E5579B">
              <w:rPr>
                <w:rStyle w:val="a7"/>
                <w:rFonts w:hint="eastAsia"/>
                <w:noProof/>
                <w:lang w:val="zh-CN"/>
              </w:rPr>
              <w:t>国务院关于创新重点领域投融资机制鼓励社会投资的指导意见（国发〔</w:t>
            </w:r>
            <w:r w:rsidRPr="00E5579B">
              <w:rPr>
                <w:rStyle w:val="a7"/>
                <w:noProof/>
                <w:lang w:val="zh-CN"/>
              </w:rPr>
              <w:t>2014</w:t>
            </w:r>
            <w:r w:rsidRPr="00E5579B">
              <w:rPr>
                <w:rStyle w:val="a7"/>
                <w:rFonts w:hint="eastAsia"/>
                <w:noProof/>
                <w:lang w:val="zh-CN"/>
              </w:rPr>
              <w:t>〕</w:t>
            </w:r>
            <w:r w:rsidRPr="00E5579B">
              <w:rPr>
                <w:rStyle w:val="a7"/>
                <w:noProof/>
                <w:lang w:val="zh-CN"/>
              </w:rPr>
              <w:t>60</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_Toc12864171 \h </w:instrText>
            </w:r>
            <w:r>
              <w:rPr>
                <w:noProof/>
                <w:webHidden/>
              </w:rPr>
            </w:r>
            <w:r>
              <w:rPr>
                <w:noProof/>
                <w:webHidden/>
              </w:rPr>
              <w:fldChar w:fldCharType="separate"/>
            </w:r>
            <w:r w:rsidR="000958AB">
              <w:rPr>
                <w:noProof/>
                <w:webHidden/>
              </w:rPr>
              <w:t>45</w:t>
            </w:r>
            <w:r>
              <w:rPr>
                <w:noProof/>
                <w:webHidden/>
              </w:rPr>
              <w:fldChar w:fldCharType="end"/>
            </w:r>
          </w:hyperlink>
        </w:p>
        <w:p w:rsidR="002746BC" w:rsidRDefault="002746BC">
          <w:pPr>
            <w:pStyle w:val="30"/>
            <w:rPr>
              <w:noProof/>
            </w:rPr>
          </w:pPr>
          <w:hyperlink w:anchor="_Toc12864172" w:history="1">
            <w:r w:rsidRPr="00E5579B">
              <w:rPr>
                <w:rStyle w:val="a7"/>
                <w:rFonts w:hint="eastAsia"/>
                <w:noProof/>
                <w:lang w:val="zh-CN"/>
              </w:rPr>
              <w:t>国务院关于深化预算管理制度改革的决定（国发〔</w:t>
            </w:r>
            <w:r w:rsidRPr="00E5579B">
              <w:rPr>
                <w:rStyle w:val="a7"/>
                <w:noProof/>
                <w:lang w:val="zh-CN"/>
              </w:rPr>
              <w:t>2014</w:t>
            </w:r>
            <w:r w:rsidRPr="00E5579B">
              <w:rPr>
                <w:rStyle w:val="a7"/>
                <w:rFonts w:hint="eastAsia"/>
                <w:noProof/>
                <w:lang w:val="zh-CN"/>
              </w:rPr>
              <w:t>〕</w:t>
            </w:r>
            <w:r w:rsidRPr="00E5579B">
              <w:rPr>
                <w:rStyle w:val="a7"/>
                <w:noProof/>
                <w:lang w:val="zh-CN"/>
              </w:rPr>
              <w:t>45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_Toc12864172 \h </w:instrText>
            </w:r>
            <w:r>
              <w:rPr>
                <w:noProof/>
                <w:webHidden/>
              </w:rPr>
            </w:r>
            <w:r>
              <w:rPr>
                <w:noProof/>
                <w:webHidden/>
              </w:rPr>
              <w:fldChar w:fldCharType="separate"/>
            </w:r>
            <w:r w:rsidR="000958AB">
              <w:rPr>
                <w:noProof/>
                <w:webHidden/>
              </w:rPr>
              <w:t>59</w:t>
            </w:r>
            <w:r>
              <w:rPr>
                <w:noProof/>
                <w:webHidden/>
              </w:rPr>
              <w:fldChar w:fldCharType="end"/>
            </w:r>
          </w:hyperlink>
        </w:p>
        <w:p w:rsidR="002746BC" w:rsidRDefault="002746BC">
          <w:pPr>
            <w:pStyle w:val="30"/>
            <w:rPr>
              <w:noProof/>
            </w:rPr>
          </w:pPr>
          <w:hyperlink w:anchor="_Toc12864173" w:history="1">
            <w:r w:rsidRPr="00E5579B">
              <w:rPr>
                <w:rStyle w:val="a7"/>
                <w:rFonts w:hint="eastAsia"/>
                <w:noProof/>
                <w:lang w:val="zh-CN"/>
              </w:rPr>
              <w:t>国务院关于加强地方政府性债务管理的意见（国发〔</w:t>
            </w:r>
            <w:r w:rsidRPr="00E5579B">
              <w:rPr>
                <w:rStyle w:val="a7"/>
                <w:noProof/>
                <w:lang w:val="zh-CN"/>
              </w:rPr>
              <w:t>2014</w:t>
            </w:r>
            <w:r w:rsidRPr="00E5579B">
              <w:rPr>
                <w:rStyle w:val="a7"/>
                <w:rFonts w:hint="eastAsia"/>
                <w:noProof/>
                <w:lang w:val="zh-CN"/>
              </w:rPr>
              <w:t>〕</w:t>
            </w:r>
            <w:r w:rsidRPr="00E5579B">
              <w:rPr>
                <w:rStyle w:val="a7"/>
                <w:noProof/>
                <w:lang w:val="zh-CN"/>
              </w:rPr>
              <w:t>43</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_Toc12864173 \h </w:instrText>
            </w:r>
            <w:r>
              <w:rPr>
                <w:noProof/>
                <w:webHidden/>
              </w:rPr>
            </w:r>
            <w:r>
              <w:rPr>
                <w:noProof/>
                <w:webHidden/>
              </w:rPr>
              <w:fldChar w:fldCharType="separate"/>
            </w:r>
            <w:r w:rsidR="000958AB">
              <w:rPr>
                <w:noProof/>
                <w:webHidden/>
              </w:rPr>
              <w:t>72</w:t>
            </w:r>
            <w:r>
              <w:rPr>
                <w:noProof/>
                <w:webHidden/>
              </w:rPr>
              <w:fldChar w:fldCharType="end"/>
            </w:r>
          </w:hyperlink>
        </w:p>
        <w:p w:rsidR="002746BC" w:rsidRDefault="002746BC">
          <w:pPr>
            <w:pStyle w:val="30"/>
            <w:rPr>
              <w:noProof/>
            </w:rPr>
          </w:pPr>
          <w:hyperlink w:anchor="_Toc12864174" w:history="1">
            <w:r w:rsidRPr="00E5579B">
              <w:rPr>
                <w:rStyle w:val="a7"/>
                <w:rFonts w:hint="eastAsia"/>
                <w:noProof/>
                <w:lang w:val="zh-CN"/>
              </w:rPr>
              <w:t>国务院关于加强地方政府融资平台公司管理有关问题的通知（国发〔</w:t>
            </w:r>
            <w:r w:rsidRPr="00E5579B">
              <w:rPr>
                <w:rStyle w:val="a7"/>
                <w:noProof/>
                <w:lang w:val="zh-CN"/>
              </w:rPr>
              <w:t>2010</w:t>
            </w:r>
            <w:r w:rsidRPr="00E5579B">
              <w:rPr>
                <w:rStyle w:val="a7"/>
                <w:rFonts w:hint="eastAsia"/>
                <w:noProof/>
                <w:lang w:val="zh-CN"/>
              </w:rPr>
              <w:t>〕</w:t>
            </w:r>
            <w:r w:rsidRPr="00E5579B">
              <w:rPr>
                <w:rStyle w:val="a7"/>
                <w:noProof/>
                <w:lang w:val="zh-CN"/>
              </w:rPr>
              <w:t>19</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_Toc12864174 \h </w:instrText>
            </w:r>
            <w:r>
              <w:rPr>
                <w:noProof/>
                <w:webHidden/>
              </w:rPr>
            </w:r>
            <w:r>
              <w:rPr>
                <w:noProof/>
                <w:webHidden/>
              </w:rPr>
              <w:fldChar w:fldCharType="separate"/>
            </w:r>
            <w:r w:rsidR="000958AB">
              <w:rPr>
                <w:noProof/>
                <w:webHidden/>
              </w:rPr>
              <w:t>79</w:t>
            </w:r>
            <w:r>
              <w:rPr>
                <w:noProof/>
                <w:webHidden/>
              </w:rPr>
              <w:fldChar w:fldCharType="end"/>
            </w:r>
          </w:hyperlink>
        </w:p>
        <w:p w:rsidR="002746BC" w:rsidRDefault="002746BC">
          <w:pPr>
            <w:pStyle w:val="20"/>
            <w:tabs>
              <w:tab w:val="right" w:leader="dot" w:pos="8296"/>
            </w:tabs>
            <w:rPr>
              <w:noProof/>
            </w:rPr>
          </w:pPr>
          <w:hyperlink w:anchor="_Toc12864175" w:history="1">
            <w:r w:rsidRPr="00E5579B">
              <w:rPr>
                <w:rStyle w:val="a7"/>
                <w:noProof/>
              </w:rPr>
              <w:t>2</w:t>
            </w:r>
            <w:r w:rsidRPr="00E5579B">
              <w:rPr>
                <w:rStyle w:val="a7"/>
                <w:rFonts w:hint="eastAsia"/>
                <w:noProof/>
              </w:rPr>
              <w:t>、财政部文件</w:t>
            </w:r>
            <w:r>
              <w:rPr>
                <w:noProof/>
                <w:webHidden/>
              </w:rPr>
              <w:tab/>
            </w:r>
            <w:r>
              <w:rPr>
                <w:noProof/>
                <w:webHidden/>
              </w:rPr>
              <w:fldChar w:fldCharType="begin"/>
            </w:r>
            <w:r>
              <w:rPr>
                <w:noProof/>
                <w:webHidden/>
              </w:rPr>
              <w:instrText xml:space="preserve"> PAGEREF _Toc12864175 \h </w:instrText>
            </w:r>
            <w:r>
              <w:rPr>
                <w:noProof/>
                <w:webHidden/>
              </w:rPr>
            </w:r>
            <w:r>
              <w:rPr>
                <w:noProof/>
                <w:webHidden/>
              </w:rPr>
              <w:fldChar w:fldCharType="separate"/>
            </w:r>
            <w:r w:rsidR="000958AB">
              <w:rPr>
                <w:noProof/>
                <w:webHidden/>
              </w:rPr>
              <w:t>84</w:t>
            </w:r>
            <w:r>
              <w:rPr>
                <w:noProof/>
                <w:webHidden/>
              </w:rPr>
              <w:fldChar w:fldCharType="end"/>
            </w:r>
          </w:hyperlink>
        </w:p>
        <w:p w:rsidR="002746BC" w:rsidRDefault="002746BC">
          <w:pPr>
            <w:pStyle w:val="30"/>
            <w:rPr>
              <w:noProof/>
            </w:rPr>
          </w:pPr>
          <w:hyperlink w:anchor="_Toc12864176" w:history="1">
            <w:r w:rsidRPr="00E5579B">
              <w:rPr>
                <w:rStyle w:val="a7"/>
                <w:rFonts w:hint="eastAsia"/>
                <w:noProof/>
                <w:lang w:val="zh-CN"/>
              </w:rPr>
              <w:t>财政部关于印发《地方政府债务信息公开办法（试行）》的通知</w:t>
            </w:r>
            <w:r w:rsidRPr="00E5579B">
              <w:rPr>
                <w:rStyle w:val="a7"/>
                <w:noProof/>
                <w:lang w:val="zh-CN"/>
              </w:rPr>
              <w:t>(</w:t>
            </w:r>
            <w:r w:rsidRPr="00E5579B">
              <w:rPr>
                <w:rStyle w:val="a7"/>
                <w:rFonts w:hint="eastAsia"/>
                <w:noProof/>
                <w:lang w:val="zh-CN"/>
              </w:rPr>
              <w:t>财预〔</w:t>
            </w:r>
            <w:r w:rsidRPr="00E5579B">
              <w:rPr>
                <w:rStyle w:val="a7"/>
                <w:noProof/>
                <w:lang w:val="zh-CN"/>
              </w:rPr>
              <w:t>2018</w:t>
            </w:r>
            <w:r w:rsidRPr="00E5579B">
              <w:rPr>
                <w:rStyle w:val="a7"/>
                <w:rFonts w:hint="eastAsia"/>
                <w:noProof/>
                <w:lang w:val="zh-CN"/>
              </w:rPr>
              <w:t>〕</w:t>
            </w:r>
            <w:r w:rsidRPr="00E5579B">
              <w:rPr>
                <w:rStyle w:val="a7"/>
                <w:noProof/>
                <w:lang w:val="zh-CN"/>
              </w:rPr>
              <w:t>209</w:t>
            </w:r>
            <w:r w:rsidRPr="00E5579B">
              <w:rPr>
                <w:rStyle w:val="a7"/>
                <w:rFonts w:hint="eastAsia"/>
                <w:noProof/>
                <w:lang w:val="zh-CN"/>
              </w:rPr>
              <w:t>号</w:t>
            </w:r>
            <w:r w:rsidRPr="00E5579B">
              <w:rPr>
                <w:rStyle w:val="a7"/>
                <w:noProof/>
                <w:lang w:val="zh-CN"/>
              </w:rPr>
              <w:t>)</w:t>
            </w:r>
            <w:r>
              <w:rPr>
                <w:noProof/>
                <w:webHidden/>
              </w:rPr>
              <w:tab/>
            </w:r>
            <w:r>
              <w:rPr>
                <w:noProof/>
                <w:webHidden/>
              </w:rPr>
              <w:fldChar w:fldCharType="begin"/>
            </w:r>
            <w:r>
              <w:rPr>
                <w:noProof/>
                <w:webHidden/>
              </w:rPr>
              <w:instrText xml:space="preserve"> PAGEREF _Toc12864176 \h </w:instrText>
            </w:r>
            <w:r>
              <w:rPr>
                <w:noProof/>
                <w:webHidden/>
              </w:rPr>
            </w:r>
            <w:r>
              <w:rPr>
                <w:noProof/>
                <w:webHidden/>
              </w:rPr>
              <w:fldChar w:fldCharType="separate"/>
            </w:r>
            <w:r w:rsidR="000958AB">
              <w:rPr>
                <w:noProof/>
                <w:webHidden/>
              </w:rPr>
              <w:t>85</w:t>
            </w:r>
            <w:r>
              <w:rPr>
                <w:noProof/>
                <w:webHidden/>
              </w:rPr>
              <w:fldChar w:fldCharType="end"/>
            </w:r>
          </w:hyperlink>
        </w:p>
        <w:p w:rsidR="002746BC" w:rsidRDefault="002746BC">
          <w:pPr>
            <w:pStyle w:val="30"/>
            <w:rPr>
              <w:noProof/>
            </w:rPr>
          </w:pPr>
          <w:hyperlink w:anchor="_Toc12864177" w:history="1">
            <w:r w:rsidRPr="00E5579B">
              <w:rPr>
                <w:rStyle w:val="a7"/>
                <w:rFonts w:hint="eastAsia"/>
                <w:noProof/>
                <w:lang w:val="zh-CN"/>
              </w:rPr>
              <w:t>财政部关于印发《地方政府债券弹性招标发行业务规程》的通知（财库〔</w:t>
            </w:r>
            <w:r w:rsidRPr="00E5579B">
              <w:rPr>
                <w:rStyle w:val="a7"/>
                <w:noProof/>
                <w:lang w:val="zh-CN"/>
              </w:rPr>
              <w:t>2018</w:t>
            </w:r>
            <w:r w:rsidRPr="00E5579B">
              <w:rPr>
                <w:rStyle w:val="a7"/>
                <w:rFonts w:hint="eastAsia"/>
                <w:noProof/>
                <w:lang w:val="zh-CN"/>
              </w:rPr>
              <w:t>〕</w:t>
            </w:r>
            <w:r w:rsidRPr="00E5579B">
              <w:rPr>
                <w:rStyle w:val="a7"/>
                <w:noProof/>
                <w:lang w:val="zh-CN"/>
              </w:rPr>
              <w:t>74</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_Toc12864177 \h </w:instrText>
            </w:r>
            <w:r>
              <w:rPr>
                <w:noProof/>
                <w:webHidden/>
              </w:rPr>
            </w:r>
            <w:r>
              <w:rPr>
                <w:noProof/>
                <w:webHidden/>
              </w:rPr>
              <w:fldChar w:fldCharType="separate"/>
            </w:r>
            <w:r w:rsidR="000958AB">
              <w:rPr>
                <w:noProof/>
                <w:webHidden/>
              </w:rPr>
              <w:t>93</w:t>
            </w:r>
            <w:r>
              <w:rPr>
                <w:noProof/>
                <w:webHidden/>
              </w:rPr>
              <w:fldChar w:fldCharType="end"/>
            </w:r>
          </w:hyperlink>
        </w:p>
        <w:p w:rsidR="002746BC" w:rsidRDefault="002746BC">
          <w:pPr>
            <w:pStyle w:val="30"/>
            <w:rPr>
              <w:noProof/>
            </w:rPr>
          </w:pPr>
          <w:hyperlink w:anchor="_Toc12864178" w:history="1">
            <w:r w:rsidRPr="00E5579B">
              <w:rPr>
                <w:rStyle w:val="a7"/>
                <w:rFonts w:hint="eastAsia"/>
                <w:noProof/>
                <w:lang w:val="zh-CN"/>
              </w:rPr>
              <w:t>财政部关于印发《地方政府债券公开承销发行业务规程》的通知（财库〔</w:t>
            </w:r>
            <w:r w:rsidRPr="00E5579B">
              <w:rPr>
                <w:rStyle w:val="a7"/>
                <w:noProof/>
                <w:lang w:val="zh-CN"/>
              </w:rPr>
              <w:t>2018</w:t>
            </w:r>
            <w:r w:rsidRPr="00E5579B">
              <w:rPr>
                <w:rStyle w:val="a7"/>
                <w:rFonts w:hint="eastAsia"/>
                <w:noProof/>
                <w:lang w:val="zh-CN"/>
              </w:rPr>
              <w:t>〕</w:t>
            </w:r>
            <w:r w:rsidRPr="00E5579B">
              <w:rPr>
                <w:rStyle w:val="a7"/>
                <w:noProof/>
                <w:lang w:val="zh-CN"/>
              </w:rPr>
              <w:t>68</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_Toc12864178 \h </w:instrText>
            </w:r>
            <w:r>
              <w:rPr>
                <w:noProof/>
                <w:webHidden/>
              </w:rPr>
            </w:r>
            <w:r>
              <w:rPr>
                <w:noProof/>
                <w:webHidden/>
              </w:rPr>
              <w:fldChar w:fldCharType="separate"/>
            </w:r>
            <w:r w:rsidR="000958AB">
              <w:rPr>
                <w:noProof/>
                <w:webHidden/>
              </w:rPr>
              <w:t>98</w:t>
            </w:r>
            <w:r>
              <w:rPr>
                <w:noProof/>
                <w:webHidden/>
              </w:rPr>
              <w:fldChar w:fldCharType="end"/>
            </w:r>
          </w:hyperlink>
        </w:p>
        <w:p w:rsidR="002746BC" w:rsidRDefault="002746BC">
          <w:pPr>
            <w:pStyle w:val="30"/>
            <w:rPr>
              <w:noProof/>
            </w:rPr>
          </w:pPr>
          <w:hyperlink w:anchor="_Toc12864179" w:history="1">
            <w:r w:rsidRPr="00E5579B">
              <w:rPr>
                <w:rStyle w:val="a7"/>
                <w:rFonts w:hint="eastAsia"/>
                <w:noProof/>
                <w:lang w:val="zh-CN"/>
              </w:rPr>
              <w:t>财政部</w:t>
            </w:r>
            <w:r w:rsidRPr="00E5579B">
              <w:rPr>
                <w:rStyle w:val="a7"/>
                <w:noProof/>
                <w:lang w:val="zh-CN"/>
              </w:rPr>
              <w:t xml:space="preserve"> </w:t>
            </w:r>
            <w:r w:rsidRPr="00E5579B">
              <w:rPr>
                <w:rStyle w:val="a7"/>
                <w:rFonts w:hint="eastAsia"/>
                <w:noProof/>
                <w:lang w:val="zh-CN"/>
              </w:rPr>
              <w:t>住房城乡建设部关于印发《试点发行地方政府棚户区改造专项债券管理办法》的通知（财预〔</w:t>
            </w:r>
            <w:r w:rsidRPr="00E5579B">
              <w:rPr>
                <w:rStyle w:val="a7"/>
                <w:noProof/>
                <w:lang w:val="zh-CN"/>
              </w:rPr>
              <w:t>2018</w:t>
            </w:r>
            <w:r w:rsidRPr="00E5579B">
              <w:rPr>
                <w:rStyle w:val="a7"/>
                <w:rFonts w:hint="eastAsia"/>
                <w:noProof/>
                <w:lang w:val="zh-CN"/>
              </w:rPr>
              <w:t>〕</w:t>
            </w:r>
            <w:r w:rsidRPr="00E5579B">
              <w:rPr>
                <w:rStyle w:val="a7"/>
                <w:noProof/>
                <w:lang w:val="zh-CN"/>
              </w:rPr>
              <w:t>28</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_Toc12864179 \h </w:instrText>
            </w:r>
            <w:r>
              <w:rPr>
                <w:noProof/>
                <w:webHidden/>
              </w:rPr>
            </w:r>
            <w:r>
              <w:rPr>
                <w:noProof/>
                <w:webHidden/>
              </w:rPr>
              <w:fldChar w:fldCharType="separate"/>
            </w:r>
            <w:r w:rsidR="000958AB">
              <w:rPr>
                <w:noProof/>
                <w:webHidden/>
              </w:rPr>
              <w:t>107</w:t>
            </w:r>
            <w:r>
              <w:rPr>
                <w:noProof/>
                <w:webHidden/>
              </w:rPr>
              <w:fldChar w:fldCharType="end"/>
            </w:r>
          </w:hyperlink>
        </w:p>
        <w:p w:rsidR="002746BC" w:rsidRDefault="002746BC">
          <w:pPr>
            <w:pStyle w:val="30"/>
            <w:rPr>
              <w:noProof/>
            </w:rPr>
          </w:pPr>
          <w:hyperlink w:anchor="_Toc12864180" w:history="1">
            <w:r w:rsidRPr="00E5579B">
              <w:rPr>
                <w:rStyle w:val="a7"/>
                <w:rFonts w:hint="eastAsia"/>
                <w:noProof/>
                <w:lang w:val="zh-CN"/>
              </w:rPr>
              <w:t>财政部关于坚决制止地方政府违法违规举债遏制隐性债务增量情况的报告（</w:t>
            </w:r>
            <w:r w:rsidRPr="00E5579B">
              <w:rPr>
                <w:rStyle w:val="a7"/>
                <w:noProof/>
                <w:lang w:val="zh-CN"/>
              </w:rPr>
              <w:t>2017</w:t>
            </w:r>
            <w:r w:rsidRPr="00E5579B">
              <w:rPr>
                <w:rStyle w:val="a7"/>
                <w:rFonts w:hint="eastAsia"/>
                <w:noProof/>
                <w:lang w:val="zh-CN"/>
              </w:rPr>
              <w:t>年</w:t>
            </w:r>
            <w:r w:rsidRPr="00E5579B">
              <w:rPr>
                <w:rStyle w:val="a7"/>
                <w:noProof/>
                <w:lang w:val="zh-CN"/>
              </w:rPr>
              <w:t>12</w:t>
            </w:r>
            <w:r w:rsidRPr="00E5579B">
              <w:rPr>
                <w:rStyle w:val="a7"/>
                <w:rFonts w:hint="eastAsia"/>
                <w:noProof/>
                <w:lang w:val="zh-CN"/>
              </w:rPr>
              <w:t>月</w:t>
            </w:r>
            <w:r w:rsidRPr="00E5579B">
              <w:rPr>
                <w:rStyle w:val="a7"/>
                <w:noProof/>
                <w:lang w:val="zh-CN"/>
              </w:rPr>
              <w:t>24</w:t>
            </w:r>
            <w:r w:rsidRPr="00E5579B">
              <w:rPr>
                <w:rStyle w:val="a7"/>
                <w:rFonts w:hint="eastAsia"/>
                <w:noProof/>
                <w:lang w:val="zh-CN"/>
              </w:rPr>
              <w:t>日）</w:t>
            </w:r>
            <w:r>
              <w:rPr>
                <w:noProof/>
                <w:webHidden/>
              </w:rPr>
              <w:tab/>
            </w:r>
            <w:r>
              <w:rPr>
                <w:noProof/>
                <w:webHidden/>
              </w:rPr>
              <w:fldChar w:fldCharType="begin"/>
            </w:r>
            <w:r>
              <w:rPr>
                <w:noProof/>
                <w:webHidden/>
              </w:rPr>
              <w:instrText xml:space="preserve"> PAGEREF _Toc12864180 \h </w:instrText>
            </w:r>
            <w:r>
              <w:rPr>
                <w:noProof/>
                <w:webHidden/>
              </w:rPr>
            </w:r>
            <w:r>
              <w:rPr>
                <w:noProof/>
                <w:webHidden/>
              </w:rPr>
              <w:fldChar w:fldCharType="separate"/>
            </w:r>
            <w:r w:rsidR="000958AB">
              <w:rPr>
                <w:noProof/>
                <w:webHidden/>
              </w:rPr>
              <w:t>119</w:t>
            </w:r>
            <w:r>
              <w:rPr>
                <w:noProof/>
                <w:webHidden/>
              </w:rPr>
              <w:fldChar w:fldCharType="end"/>
            </w:r>
          </w:hyperlink>
        </w:p>
        <w:p w:rsidR="002746BC" w:rsidRDefault="002746BC">
          <w:pPr>
            <w:pStyle w:val="30"/>
            <w:rPr>
              <w:noProof/>
            </w:rPr>
          </w:pPr>
          <w:hyperlink w:anchor="_Toc12864181" w:history="1">
            <w:r w:rsidRPr="00E5579B">
              <w:rPr>
                <w:rStyle w:val="a7"/>
                <w:rFonts w:hint="eastAsia"/>
                <w:noProof/>
                <w:lang w:val="zh-CN"/>
              </w:rPr>
              <w:t>财政部关于印发《地方预算执行动态监控工作督导考核办法》的通知（财库〔</w:t>
            </w:r>
            <w:r w:rsidRPr="00E5579B">
              <w:rPr>
                <w:rStyle w:val="a7"/>
                <w:noProof/>
                <w:lang w:val="zh-CN"/>
              </w:rPr>
              <w:t>2017</w:t>
            </w:r>
            <w:r w:rsidRPr="00E5579B">
              <w:rPr>
                <w:rStyle w:val="a7"/>
                <w:rFonts w:hint="eastAsia"/>
                <w:noProof/>
                <w:lang w:val="zh-CN"/>
              </w:rPr>
              <w:t>〕</w:t>
            </w:r>
            <w:r w:rsidRPr="00E5579B">
              <w:rPr>
                <w:rStyle w:val="a7"/>
                <w:noProof/>
                <w:lang w:val="zh-CN"/>
              </w:rPr>
              <w:t>161</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_Toc12864181 \h </w:instrText>
            </w:r>
            <w:r>
              <w:rPr>
                <w:noProof/>
                <w:webHidden/>
              </w:rPr>
            </w:r>
            <w:r>
              <w:rPr>
                <w:noProof/>
                <w:webHidden/>
              </w:rPr>
              <w:fldChar w:fldCharType="separate"/>
            </w:r>
            <w:r w:rsidR="000958AB">
              <w:rPr>
                <w:noProof/>
                <w:webHidden/>
              </w:rPr>
              <w:t>128</w:t>
            </w:r>
            <w:r>
              <w:rPr>
                <w:noProof/>
                <w:webHidden/>
              </w:rPr>
              <w:fldChar w:fldCharType="end"/>
            </w:r>
          </w:hyperlink>
        </w:p>
        <w:p w:rsidR="002746BC" w:rsidRDefault="002746BC">
          <w:pPr>
            <w:pStyle w:val="30"/>
            <w:rPr>
              <w:noProof/>
            </w:rPr>
          </w:pPr>
          <w:hyperlink w:anchor="_Toc12864182" w:history="1">
            <w:r w:rsidRPr="00E5579B">
              <w:rPr>
                <w:rStyle w:val="a7"/>
                <w:rFonts w:hint="eastAsia"/>
                <w:noProof/>
                <w:lang w:val="zh-CN"/>
              </w:rPr>
              <w:t>关于坚决制止地方以政府购买服务名义违法违规融资的通知（财预〔</w:t>
            </w:r>
            <w:r w:rsidRPr="00E5579B">
              <w:rPr>
                <w:rStyle w:val="a7"/>
                <w:noProof/>
                <w:lang w:val="zh-CN"/>
              </w:rPr>
              <w:t>2017</w:t>
            </w:r>
            <w:r w:rsidRPr="00E5579B">
              <w:rPr>
                <w:rStyle w:val="a7"/>
                <w:rFonts w:hint="eastAsia"/>
                <w:noProof/>
                <w:lang w:val="zh-CN"/>
              </w:rPr>
              <w:t>〕</w:t>
            </w:r>
            <w:r w:rsidRPr="00E5579B">
              <w:rPr>
                <w:rStyle w:val="a7"/>
                <w:noProof/>
                <w:lang w:val="zh-CN"/>
              </w:rPr>
              <w:t>87</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_Toc12864182 \h </w:instrText>
            </w:r>
            <w:r>
              <w:rPr>
                <w:noProof/>
                <w:webHidden/>
              </w:rPr>
            </w:r>
            <w:r>
              <w:rPr>
                <w:noProof/>
                <w:webHidden/>
              </w:rPr>
              <w:fldChar w:fldCharType="separate"/>
            </w:r>
            <w:r w:rsidR="000958AB">
              <w:rPr>
                <w:noProof/>
                <w:webHidden/>
              </w:rPr>
              <w:t>132</w:t>
            </w:r>
            <w:r>
              <w:rPr>
                <w:noProof/>
                <w:webHidden/>
              </w:rPr>
              <w:fldChar w:fldCharType="end"/>
            </w:r>
          </w:hyperlink>
        </w:p>
        <w:p w:rsidR="002746BC" w:rsidRDefault="002746BC">
          <w:pPr>
            <w:pStyle w:val="30"/>
            <w:rPr>
              <w:noProof/>
            </w:rPr>
          </w:pPr>
          <w:hyperlink w:anchor="_Toc12864183" w:history="1">
            <w:r w:rsidRPr="00E5579B">
              <w:rPr>
                <w:rStyle w:val="a7"/>
                <w:rFonts w:hint="eastAsia"/>
                <w:noProof/>
                <w:lang w:val="zh-CN"/>
              </w:rPr>
              <w:t>关于进一步规范地方政府举债融资行为的通知（财预〔</w:t>
            </w:r>
            <w:r w:rsidRPr="00E5579B">
              <w:rPr>
                <w:rStyle w:val="a7"/>
                <w:noProof/>
                <w:lang w:val="zh-CN"/>
              </w:rPr>
              <w:t>2017</w:t>
            </w:r>
            <w:r w:rsidRPr="00E5579B">
              <w:rPr>
                <w:rStyle w:val="a7"/>
                <w:rFonts w:hint="eastAsia"/>
                <w:noProof/>
                <w:lang w:val="zh-CN"/>
              </w:rPr>
              <w:t>〕</w:t>
            </w:r>
            <w:r w:rsidRPr="00E5579B">
              <w:rPr>
                <w:rStyle w:val="a7"/>
                <w:noProof/>
                <w:lang w:val="zh-CN"/>
              </w:rPr>
              <w:t>50</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_Toc12864183 \h </w:instrText>
            </w:r>
            <w:r>
              <w:rPr>
                <w:noProof/>
                <w:webHidden/>
              </w:rPr>
            </w:r>
            <w:r>
              <w:rPr>
                <w:noProof/>
                <w:webHidden/>
              </w:rPr>
              <w:fldChar w:fldCharType="separate"/>
            </w:r>
            <w:r w:rsidR="000958AB">
              <w:rPr>
                <w:noProof/>
                <w:webHidden/>
              </w:rPr>
              <w:t>136</w:t>
            </w:r>
            <w:r>
              <w:rPr>
                <w:noProof/>
                <w:webHidden/>
              </w:rPr>
              <w:fldChar w:fldCharType="end"/>
            </w:r>
          </w:hyperlink>
        </w:p>
        <w:p w:rsidR="002746BC" w:rsidRDefault="002746BC">
          <w:pPr>
            <w:pStyle w:val="30"/>
            <w:rPr>
              <w:noProof/>
            </w:rPr>
          </w:pPr>
          <w:hyperlink w:anchor="_Toc12864184" w:history="1">
            <w:r w:rsidRPr="00E5579B">
              <w:rPr>
                <w:rStyle w:val="a7"/>
                <w:rFonts w:hint="eastAsia"/>
                <w:noProof/>
                <w:lang w:val="zh-CN"/>
              </w:rPr>
              <w:t>财政部关于印发《新增地方政府债务限额分配管理暂行办法》的通知（财预〔</w:t>
            </w:r>
            <w:r w:rsidRPr="00E5579B">
              <w:rPr>
                <w:rStyle w:val="a7"/>
                <w:noProof/>
                <w:lang w:val="zh-CN"/>
              </w:rPr>
              <w:t>2017</w:t>
            </w:r>
            <w:r w:rsidRPr="00E5579B">
              <w:rPr>
                <w:rStyle w:val="a7"/>
                <w:rFonts w:hint="eastAsia"/>
                <w:noProof/>
                <w:lang w:val="zh-CN"/>
              </w:rPr>
              <w:t>〕</w:t>
            </w:r>
            <w:r w:rsidRPr="00E5579B">
              <w:rPr>
                <w:rStyle w:val="a7"/>
                <w:noProof/>
                <w:lang w:val="zh-CN"/>
              </w:rPr>
              <w:t>35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_Toc12864184 \h </w:instrText>
            </w:r>
            <w:r>
              <w:rPr>
                <w:noProof/>
                <w:webHidden/>
              </w:rPr>
            </w:r>
            <w:r>
              <w:rPr>
                <w:noProof/>
                <w:webHidden/>
              </w:rPr>
              <w:fldChar w:fldCharType="separate"/>
            </w:r>
            <w:r w:rsidR="000958AB">
              <w:rPr>
                <w:noProof/>
                <w:webHidden/>
              </w:rPr>
              <w:t>142</w:t>
            </w:r>
            <w:r>
              <w:rPr>
                <w:noProof/>
                <w:webHidden/>
              </w:rPr>
              <w:fldChar w:fldCharType="end"/>
            </w:r>
          </w:hyperlink>
        </w:p>
        <w:p w:rsidR="002746BC" w:rsidRDefault="002746BC">
          <w:pPr>
            <w:pStyle w:val="30"/>
            <w:rPr>
              <w:noProof/>
            </w:rPr>
          </w:pPr>
          <w:hyperlink w:anchor="_Toc12864185" w:history="1">
            <w:r w:rsidRPr="00E5579B">
              <w:rPr>
                <w:rStyle w:val="a7"/>
                <w:rFonts w:hint="eastAsia"/>
                <w:noProof/>
                <w:lang w:val="zh-CN"/>
              </w:rPr>
              <w:t>地方政府专项债务预算管理办法（财预〔</w:t>
            </w:r>
            <w:r w:rsidRPr="00E5579B">
              <w:rPr>
                <w:rStyle w:val="a7"/>
                <w:noProof/>
                <w:lang w:val="zh-CN"/>
              </w:rPr>
              <w:t>2016</w:t>
            </w:r>
            <w:r w:rsidRPr="00E5579B">
              <w:rPr>
                <w:rStyle w:val="a7"/>
                <w:rFonts w:hint="eastAsia"/>
                <w:noProof/>
                <w:lang w:val="zh-CN"/>
              </w:rPr>
              <w:t>〕</w:t>
            </w:r>
            <w:r w:rsidRPr="00E5579B">
              <w:rPr>
                <w:rStyle w:val="a7"/>
                <w:noProof/>
                <w:lang w:val="zh-CN"/>
              </w:rPr>
              <w:t>155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_Toc12864185 \h </w:instrText>
            </w:r>
            <w:r>
              <w:rPr>
                <w:noProof/>
                <w:webHidden/>
              </w:rPr>
            </w:r>
            <w:r>
              <w:rPr>
                <w:noProof/>
                <w:webHidden/>
              </w:rPr>
              <w:fldChar w:fldCharType="separate"/>
            </w:r>
            <w:r w:rsidR="000958AB">
              <w:rPr>
                <w:noProof/>
                <w:webHidden/>
              </w:rPr>
              <w:t>148</w:t>
            </w:r>
            <w:r>
              <w:rPr>
                <w:noProof/>
                <w:webHidden/>
              </w:rPr>
              <w:fldChar w:fldCharType="end"/>
            </w:r>
          </w:hyperlink>
        </w:p>
        <w:p w:rsidR="002746BC" w:rsidRDefault="002746BC">
          <w:pPr>
            <w:pStyle w:val="30"/>
            <w:rPr>
              <w:noProof/>
            </w:rPr>
          </w:pPr>
          <w:hyperlink w:anchor="_Toc12864186" w:history="1">
            <w:r w:rsidRPr="00E5579B">
              <w:rPr>
                <w:rStyle w:val="a7"/>
                <w:rFonts w:hint="eastAsia"/>
                <w:noProof/>
                <w:lang w:val="zh-CN"/>
              </w:rPr>
              <w:t>财政部关于印发《地方预决算公开操作规程》的通知（财预〔</w:t>
            </w:r>
            <w:r w:rsidRPr="00E5579B">
              <w:rPr>
                <w:rStyle w:val="a7"/>
                <w:noProof/>
                <w:lang w:val="zh-CN"/>
              </w:rPr>
              <w:t>2016</w:t>
            </w:r>
            <w:r w:rsidRPr="00E5579B">
              <w:rPr>
                <w:rStyle w:val="a7"/>
                <w:rFonts w:hint="eastAsia"/>
                <w:noProof/>
                <w:lang w:val="zh-CN"/>
              </w:rPr>
              <w:t>〕</w:t>
            </w:r>
            <w:r w:rsidRPr="00E5579B">
              <w:rPr>
                <w:rStyle w:val="a7"/>
                <w:noProof/>
                <w:lang w:val="zh-CN"/>
              </w:rPr>
              <w:t>143</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_Toc12864186 \h </w:instrText>
            </w:r>
            <w:r>
              <w:rPr>
                <w:noProof/>
                <w:webHidden/>
              </w:rPr>
            </w:r>
            <w:r>
              <w:rPr>
                <w:noProof/>
                <w:webHidden/>
              </w:rPr>
              <w:fldChar w:fldCharType="separate"/>
            </w:r>
            <w:r w:rsidR="000958AB">
              <w:rPr>
                <w:noProof/>
                <w:webHidden/>
              </w:rPr>
              <w:t>157</w:t>
            </w:r>
            <w:r>
              <w:rPr>
                <w:noProof/>
                <w:webHidden/>
              </w:rPr>
              <w:fldChar w:fldCharType="end"/>
            </w:r>
          </w:hyperlink>
        </w:p>
        <w:p w:rsidR="002746BC" w:rsidRDefault="002746BC">
          <w:pPr>
            <w:pStyle w:val="30"/>
            <w:rPr>
              <w:noProof/>
            </w:rPr>
          </w:pPr>
          <w:hyperlink w:anchor="_Toc12864187" w:history="1">
            <w:r w:rsidRPr="00E5579B">
              <w:rPr>
                <w:rStyle w:val="a7"/>
                <w:rFonts w:hint="eastAsia"/>
                <w:noProof/>
                <w:lang w:val="zh-CN"/>
              </w:rPr>
              <w:t>财政部关于印发《普惠金融发展专项资金管理办法》的通知（财金〔</w:t>
            </w:r>
            <w:r w:rsidRPr="00E5579B">
              <w:rPr>
                <w:rStyle w:val="a7"/>
                <w:noProof/>
                <w:lang w:val="zh-CN"/>
              </w:rPr>
              <w:t>2016</w:t>
            </w:r>
            <w:r w:rsidRPr="00E5579B">
              <w:rPr>
                <w:rStyle w:val="a7"/>
                <w:rFonts w:hint="eastAsia"/>
                <w:noProof/>
                <w:lang w:val="zh-CN"/>
              </w:rPr>
              <w:t>〕</w:t>
            </w:r>
            <w:r w:rsidRPr="00E5579B">
              <w:rPr>
                <w:rStyle w:val="a7"/>
                <w:noProof/>
                <w:lang w:val="zh-CN"/>
              </w:rPr>
              <w:t>85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_Toc12864187 \h </w:instrText>
            </w:r>
            <w:r>
              <w:rPr>
                <w:noProof/>
                <w:webHidden/>
              </w:rPr>
            </w:r>
            <w:r>
              <w:rPr>
                <w:noProof/>
                <w:webHidden/>
              </w:rPr>
              <w:fldChar w:fldCharType="separate"/>
            </w:r>
            <w:r w:rsidR="000958AB">
              <w:rPr>
                <w:noProof/>
                <w:webHidden/>
              </w:rPr>
              <w:t>166</w:t>
            </w:r>
            <w:r>
              <w:rPr>
                <w:noProof/>
                <w:webHidden/>
              </w:rPr>
              <w:fldChar w:fldCharType="end"/>
            </w:r>
          </w:hyperlink>
        </w:p>
        <w:p w:rsidR="002746BC" w:rsidRDefault="002746BC">
          <w:pPr>
            <w:pStyle w:val="30"/>
            <w:rPr>
              <w:noProof/>
            </w:rPr>
          </w:pPr>
          <w:hyperlink w:anchor="_Toc12864188" w:history="1">
            <w:r w:rsidRPr="00E5579B">
              <w:rPr>
                <w:rStyle w:val="a7"/>
                <w:rFonts w:hint="eastAsia"/>
                <w:noProof/>
                <w:lang w:val="zh-CN"/>
              </w:rPr>
              <w:t>关于财政资金注资政府投资基金支持产业发展的指导意见（财建〔</w:t>
            </w:r>
            <w:r w:rsidRPr="00E5579B">
              <w:rPr>
                <w:rStyle w:val="a7"/>
                <w:noProof/>
                <w:lang w:val="zh-CN"/>
              </w:rPr>
              <w:t>2015</w:t>
            </w:r>
            <w:r w:rsidRPr="00E5579B">
              <w:rPr>
                <w:rStyle w:val="a7"/>
                <w:rFonts w:hint="eastAsia"/>
                <w:noProof/>
                <w:lang w:val="zh-CN"/>
              </w:rPr>
              <w:t>〕</w:t>
            </w:r>
            <w:r w:rsidRPr="00E5579B">
              <w:rPr>
                <w:rStyle w:val="a7"/>
                <w:noProof/>
                <w:lang w:val="zh-CN"/>
              </w:rPr>
              <w:t>1062</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_Toc12864188 \h </w:instrText>
            </w:r>
            <w:r>
              <w:rPr>
                <w:noProof/>
                <w:webHidden/>
              </w:rPr>
            </w:r>
            <w:r>
              <w:rPr>
                <w:noProof/>
                <w:webHidden/>
              </w:rPr>
              <w:fldChar w:fldCharType="separate"/>
            </w:r>
            <w:r w:rsidR="000958AB">
              <w:rPr>
                <w:noProof/>
                <w:webHidden/>
              </w:rPr>
              <w:t>189</w:t>
            </w:r>
            <w:r>
              <w:rPr>
                <w:noProof/>
                <w:webHidden/>
              </w:rPr>
              <w:fldChar w:fldCharType="end"/>
            </w:r>
          </w:hyperlink>
        </w:p>
        <w:p w:rsidR="002746BC" w:rsidRDefault="002746BC">
          <w:pPr>
            <w:pStyle w:val="30"/>
            <w:rPr>
              <w:noProof/>
            </w:rPr>
          </w:pPr>
          <w:hyperlink w:anchor="_Toc12864189" w:history="1">
            <w:r w:rsidRPr="00E5579B">
              <w:rPr>
                <w:rStyle w:val="a7"/>
                <w:rFonts w:hint="eastAsia"/>
                <w:noProof/>
                <w:lang w:val="zh-CN"/>
              </w:rPr>
              <w:t>财政部关于对地方政府债务实行限额管理的实施意见（财预〔</w:t>
            </w:r>
            <w:r w:rsidRPr="00E5579B">
              <w:rPr>
                <w:rStyle w:val="a7"/>
                <w:noProof/>
                <w:lang w:val="zh-CN"/>
              </w:rPr>
              <w:t>2015</w:t>
            </w:r>
            <w:r w:rsidRPr="00E5579B">
              <w:rPr>
                <w:rStyle w:val="a7"/>
                <w:rFonts w:hint="eastAsia"/>
                <w:noProof/>
                <w:lang w:val="zh-CN"/>
              </w:rPr>
              <w:t>〕</w:t>
            </w:r>
            <w:r w:rsidRPr="00E5579B">
              <w:rPr>
                <w:rStyle w:val="a7"/>
                <w:noProof/>
                <w:lang w:val="zh-CN"/>
              </w:rPr>
              <w:t>225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_Toc12864189 \h </w:instrText>
            </w:r>
            <w:r>
              <w:rPr>
                <w:noProof/>
                <w:webHidden/>
              </w:rPr>
            </w:r>
            <w:r>
              <w:rPr>
                <w:noProof/>
                <w:webHidden/>
              </w:rPr>
              <w:fldChar w:fldCharType="separate"/>
            </w:r>
            <w:r w:rsidR="000958AB">
              <w:rPr>
                <w:noProof/>
                <w:webHidden/>
              </w:rPr>
              <w:t>196</w:t>
            </w:r>
            <w:r>
              <w:rPr>
                <w:noProof/>
                <w:webHidden/>
              </w:rPr>
              <w:fldChar w:fldCharType="end"/>
            </w:r>
          </w:hyperlink>
        </w:p>
        <w:p w:rsidR="002746BC" w:rsidRDefault="002746BC">
          <w:pPr>
            <w:pStyle w:val="30"/>
            <w:rPr>
              <w:noProof/>
            </w:rPr>
          </w:pPr>
          <w:hyperlink w:anchor="_Toc12864190" w:history="1">
            <w:r w:rsidRPr="00E5579B">
              <w:rPr>
                <w:rStyle w:val="a7"/>
                <w:rFonts w:hint="eastAsia"/>
                <w:noProof/>
                <w:lang w:val="zh-CN"/>
              </w:rPr>
              <w:t>财政部关于印发《政府投资基金暂行管理办法》的通知（财预〔</w:t>
            </w:r>
            <w:r w:rsidRPr="00E5579B">
              <w:rPr>
                <w:rStyle w:val="a7"/>
                <w:noProof/>
                <w:lang w:val="zh-CN"/>
              </w:rPr>
              <w:t>2015</w:t>
            </w:r>
            <w:r w:rsidRPr="00E5579B">
              <w:rPr>
                <w:rStyle w:val="a7"/>
                <w:rFonts w:hint="eastAsia"/>
                <w:noProof/>
                <w:lang w:val="zh-CN"/>
              </w:rPr>
              <w:t>〕</w:t>
            </w:r>
            <w:r w:rsidRPr="00E5579B">
              <w:rPr>
                <w:rStyle w:val="a7"/>
                <w:noProof/>
                <w:lang w:val="zh-CN"/>
              </w:rPr>
              <w:t>210</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_Toc12864190 \h </w:instrText>
            </w:r>
            <w:r>
              <w:rPr>
                <w:noProof/>
                <w:webHidden/>
              </w:rPr>
            </w:r>
            <w:r>
              <w:rPr>
                <w:noProof/>
                <w:webHidden/>
              </w:rPr>
              <w:fldChar w:fldCharType="separate"/>
            </w:r>
            <w:r w:rsidR="000958AB">
              <w:rPr>
                <w:noProof/>
                <w:webHidden/>
              </w:rPr>
              <w:t>202</w:t>
            </w:r>
            <w:r>
              <w:rPr>
                <w:noProof/>
                <w:webHidden/>
              </w:rPr>
              <w:fldChar w:fldCharType="end"/>
            </w:r>
          </w:hyperlink>
        </w:p>
        <w:p w:rsidR="002746BC" w:rsidRDefault="002746BC">
          <w:pPr>
            <w:pStyle w:val="30"/>
            <w:rPr>
              <w:noProof/>
            </w:rPr>
          </w:pPr>
          <w:hyperlink w:anchor="_Toc12864191" w:history="1">
            <w:r w:rsidRPr="00E5579B">
              <w:rPr>
                <w:rStyle w:val="a7"/>
                <w:rFonts w:hint="eastAsia"/>
                <w:noProof/>
                <w:lang w:val="zh-CN"/>
              </w:rPr>
              <w:t>财政部关于印发《中央财政服务业发展专项资金管理办法》的通知（财建〔</w:t>
            </w:r>
            <w:r w:rsidRPr="00E5579B">
              <w:rPr>
                <w:rStyle w:val="a7"/>
                <w:noProof/>
                <w:lang w:val="zh-CN"/>
              </w:rPr>
              <w:t>2015</w:t>
            </w:r>
            <w:r w:rsidRPr="00E5579B">
              <w:rPr>
                <w:rStyle w:val="a7"/>
                <w:rFonts w:hint="eastAsia"/>
                <w:noProof/>
                <w:lang w:val="zh-CN"/>
              </w:rPr>
              <w:t>〕</w:t>
            </w:r>
            <w:r w:rsidRPr="00E5579B">
              <w:rPr>
                <w:rStyle w:val="a7"/>
                <w:noProof/>
                <w:lang w:val="zh-CN"/>
              </w:rPr>
              <w:t>256</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_Toc12864191 \h </w:instrText>
            </w:r>
            <w:r>
              <w:rPr>
                <w:noProof/>
                <w:webHidden/>
              </w:rPr>
            </w:r>
            <w:r>
              <w:rPr>
                <w:noProof/>
                <w:webHidden/>
              </w:rPr>
              <w:fldChar w:fldCharType="separate"/>
            </w:r>
            <w:r w:rsidR="000958AB">
              <w:rPr>
                <w:noProof/>
                <w:webHidden/>
              </w:rPr>
              <w:t>211</w:t>
            </w:r>
            <w:r>
              <w:rPr>
                <w:noProof/>
                <w:webHidden/>
              </w:rPr>
              <w:fldChar w:fldCharType="end"/>
            </w:r>
          </w:hyperlink>
        </w:p>
        <w:p w:rsidR="002746BC" w:rsidRDefault="002746BC">
          <w:pPr>
            <w:pStyle w:val="30"/>
            <w:rPr>
              <w:noProof/>
            </w:rPr>
          </w:pPr>
          <w:hyperlink w:anchor="_Toc12864192" w:history="1">
            <w:r w:rsidRPr="00E5579B">
              <w:rPr>
                <w:rStyle w:val="a7"/>
                <w:rFonts w:hint="eastAsia"/>
                <w:noProof/>
                <w:lang w:val="zh-CN"/>
              </w:rPr>
              <w:t>财政部关于推进地方盘活财政存量资金有关事项的通知（财预〔</w:t>
            </w:r>
            <w:r w:rsidRPr="00E5579B">
              <w:rPr>
                <w:rStyle w:val="a7"/>
                <w:noProof/>
                <w:lang w:val="zh-CN"/>
              </w:rPr>
              <w:t>2015</w:t>
            </w:r>
            <w:r w:rsidRPr="00E5579B">
              <w:rPr>
                <w:rStyle w:val="a7"/>
                <w:rFonts w:hint="eastAsia"/>
                <w:noProof/>
                <w:lang w:val="zh-CN"/>
              </w:rPr>
              <w:t>〕</w:t>
            </w:r>
            <w:r w:rsidRPr="00E5579B">
              <w:rPr>
                <w:rStyle w:val="a7"/>
                <w:noProof/>
                <w:lang w:val="zh-CN"/>
              </w:rPr>
              <w:t>15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_Toc12864192 \h </w:instrText>
            </w:r>
            <w:r>
              <w:rPr>
                <w:noProof/>
                <w:webHidden/>
              </w:rPr>
            </w:r>
            <w:r>
              <w:rPr>
                <w:noProof/>
                <w:webHidden/>
              </w:rPr>
              <w:fldChar w:fldCharType="separate"/>
            </w:r>
            <w:r w:rsidR="000958AB">
              <w:rPr>
                <w:noProof/>
                <w:webHidden/>
              </w:rPr>
              <w:t>217</w:t>
            </w:r>
            <w:r>
              <w:rPr>
                <w:noProof/>
                <w:webHidden/>
              </w:rPr>
              <w:fldChar w:fldCharType="end"/>
            </w:r>
          </w:hyperlink>
        </w:p>
        <w:p w:rsidR="002746BC" w:rsidRDefault="002746BC">
          <w:pPr>
            <w:pStyle w:val="30"/>
            <w:rPr>
              <w:noProof/>
            </w:rPr>
          </w:pPr>
          <w:hyperlink w:anchor="_Toc12864193" w:history="1">
            <w:r w:rsidRPr="00E5579B">
              <w:rPr>
                <w:rStyle w:val="a7"/>
                <w:rFonts w:hint="eastAsia"/>
                <w:noProof/>
                <w:lang w:val="zh-CN"/>
              </w:rPr>
              <w:t>财政部关于印发《地方政府存量债务纳入预算管理清理甄别办法》的通知（财预〔</w:t>
            </w:r>
            <w:r w:rsidRPr="00E5579B">
              <w:rPr>
                <w:rStyle w:val="a7"/>
                <w:noProof/>
                <w:lang w:val="zh-CN"/>
              </w:rPr>
              <w:t>2014</w:t>
            </w:r>
            <w:r w:rsidRPr="00E5579B">
              <w:rPr>
                <w:rStyle w:val="a7"/>
                <w:rFonts w:hint="eastAsia"/>
                <w:noProof/>
                <w:lang w:val="zh-CN"/>
              </w:rPr>
              <w:t>〕</w:t>
            </w:r>
            <w:r w:rsidRPr="00E5579B">
              <w:rPr>
                <w:rStyle w:val="a7"/>
                <w:noProof/>
                <w:lang w:val="zh-CN"/>
              </w:rPr>
              <w:t>351</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_Toc12864193 \h </w:instrText>
            </w:r>
            <w:r>
              <w:rPr>
                <w:noProof/>
                <w:webHidden/>
              </w:rPr>
            </w:r>
            <w:r>
              <w:rPr>
                <w:noProof/>
                <w:webHidden/>
              </w:rPr>
              <w:fldChar w:fldCharType="separate"/>
            </w:r>
            <w:r w:rsidR="000958AB">
              <w:rPr>
                <w:noProof/>
                <w:webHidden/>
              </w:rPr>
              <w:t>222</w:t>
            </w:r>
            <w:r>
              <w:rPr>
                <w:noProof/>
                <w:webHidden/>
              </w:rPr>
              <w:fldChar w:fldCharType="end"/>
            </w:r>
          </w:hyperlink>
        </w:p>
        <w:p w:rsidR="002746BC" w:rsidRDefault="002746BC">
          <w:pPr>
            <w:pStyle w:val="30"/>
            <w:rPr>
              <w:noProof/>
            </w:rPr>
          </w:pPr>
          <w:hyperlink w:anchor="_Toc12864194" w:history="1">
            <w:r w:rsidRPr="00E5579B">
              <w:rPr>
                <w:rStyle w:val="a7"/>
                <w:rFonts w:hint="eastAsia"/>
                <w:noProof/>
                <w:lang w:val="zh-CN"/>
              </w:rPr>
              <w:t>财政部</w:t>
            </w:r>
            <w:r w:rsidRPr="00E5579B">
              <w:rPr>
                <w:rStyle w:val="a7"/>
                <w:noProof/>
                <w:lang w:val="zh-CN"/>
              </w:rPr>
              <w:t xml:space="preserve"> </w:t>
            </w:r>
            <w:r w:rsidRPr="00E5579B">
              <w:rPr>
                <w:rStyle w:val="a7"/>
                <w:rFonts w:hint="eastAsia"/>
                <w:noProof/>
                <w:lang w:val="zh-CN"/>
              </w:rPr>
              <w:t>国家税务总局关于公共基础设施项目享受企业所得税优惠政策问题的补充通知（财预〔</w:t>
            </w:r>
            <w:r w:rsidRPr="00E5579B">
              <w:rPr>
                <w:rStyle w:val="a7"/>
                <w:noProof/>
                <w:lang w:val="zh-CN"/>
              </w:rPr>
              <w:t>2012</w:t>
            </w:r>
            <w:r w:rsidRPr="00E5579B">
              <w:rPr>
                <w:rStyle w:val="a7"/>
                <w:rFonts w:hint="eastAsia"/>
                <w:noProof/>
                <w:lang w:val="zh-CN"/>
              </w:rPr>
              <w:t>〕</w:t>
            </w:r>
            <w:r w:rsidRPr="00E5579B">
              <w:rPr>
                <w:rStyle w:val="a7"/>
                <w:noProof/>
                <w:lang w:val="zh-CN"/>
              </w:rPr>
              <w:t>463</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_Toc12864194 \h </w:instrText>
            </w:r>
            <w:r>
              <w:rPr>
                <w:noProof/>
                <w:webHidden/>
              </w:rPr>
            </w:r>
            <w:r>
              <w:rPr>
                <w:noProof/>
                <w:webHidden/>
              </w:rPr>
              <w:fldChar w:fldCharType="separate"/>
            </w:r>
            <w:r w:rsidR="000958AB">
              <w:rPr>
                <w:noProof/>
                <w:webHidden/>
              </w:rPr>
              <w:t>227</w:t>
            </w:r>
            <w:r>
              <w:rPr>
                <w:noProof/>
                <w:webHidden/>
              </w:rPr>
              <w:fldChar w:fldCharType="end"/>
            </w:r>
          </w:hyperlink>
        </w:p>
        <w:p w:rsidR="002746BC" w:rsidRDefault="002746BC">
          <w:pPr>
            <w:pStyle w:val="30"/>
            <w:rPr>
              <w:noProof/>
            </w:rPr>
          </w:pPr>
          <w:hyperlink w:anchor="_Toc12864195" w:history="1">
            <w:r w:rsidRPr="00E5579B">
              <w:rPr>
                <w:rStyle w:val="a7"/>
                <w:rFonts w:hint="eastAsia"/>
                <w:noProof/>
                <w:lang w:val="zh-CN"/>
              </w:rPr>
              <w:t>财政部</w:t>
            </w:r>
            <w:r w:rsidRPr="00E5579B">
              <w:rPr>
                <w:rStyle w:val="a7"/>
                <w:noProof/>
                <w:lang w:val="zh-CN"/>
              </w:rPr>
              <w:t xml:space="preserve"> </w:t>
            </w:r>
            <w:r w:rsidRPr="00E5579B">
              <w:rPr>
                <w:rStyle w:val="a7"/>
                <w:rFonts w:hint="eastAsia"/>
                <w:noProof/>
                <w:lang w:val="zh-CN"/>
              </w:rPr>
              <w:t>发展改革委</w:t>
            </w:r>
            <w:r w:rsidRPr="00E5579B">
              <w:rPr>
                <w:rStyle w:val="a7"/>
                <w:noProof/>
                <w:lang w:val="zh-CN"/>
              </w:rPr>
              <w:t xml:space="preserve"> </w:t>
            </w:r>
            <w:r w:rsidRPr="00E5579B">
              <w:rPr>
                <w:rStyle w:val="a7"/>
                <w:rFonts w:hint="eastAsia"/>
                <w:noProof/>
                <w:lang w:val="zh-CN"/>
              </w:rPr>
              <w:t>人民银行</w:t>
            </w:r>
            <w:r w:rsidRPr="00E5579B">
              <w:rPr>
                <w:rStyle w:val="a7"/>
                <w:noProof/>
                <w:lang w:val="zh-CN"/>
              </w:rPr>
              <w:t xml:space="preserve"> </w:t>
            </w:r>
            <w:r w:rsidRPr="00E5579B">
              <w:rPr>
                <w:rStyle w:val="a7"/>
                <w:rFonts w:hint="eastAsia"/>
                <w:noProof/>
                <w:lang w:val="zh-CN"/>
              </w:rPr>
              <w:t>银监会关于制止地方政府违法违规融资行为的通知（财预〔</w:t>
            </w:r>
            <w:r w:rsidRPr="00E5579B">
              <w:rPr>
                <w:rStyle w:val="a7"/>
                <w:noProof/>
                <w:lang w:val="zh-CN"/>
              </w:rPr>
              <w:t>2012</w:t>
            </w:r>
            <w:r w:rsidRPr="00E5579B">
              <w:rPr>
                <w:rStyle w:val="a7"/>
                <w:rFonts w:hint="eastAsia"/>
                <w:noProof/>
                <w:lang w:val="zh-CN"/>
              </w:rPr>
              <w:t>〕</w:t>
            </w:r>
            <w:r w:rsidRPr="00E5579B">
              <w:rPr>
                <w:rStyle w:val="a7"/>
                <w:noProof/>
                <w:lang w:val="zh-CN"/>
              </w:rPr>
              <w:t>463</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_Toc12864195 \h </w:instrText>
            </w:r>
            <w:r>
              <w:rPr>
                <w:noProof/>
                <w:webHidden/>
              </w:rPr>
            </w:r>
            <w:r>
              <w:rPr>
                <w:noProof/>
                <w:webHidden/>
              </w:rPr>
              <w:fldChar w:fldCharType="separate"/>
            </w:r>
            <w:r w:rsidR="000958AB">
              <w:rPr>
                <w:noProof/>
                <w:webHidden/>
              </w:rPr>
              <w:t>229</w:t>
            </w:r>
            <w:r>
              <w:rPr>
                <w:noProof/>
                <w:webHidden/>
              </w:rPr>
              <w:fldChar w:fldCharType="end"/>
            </w:r>
          </w:hyperlink>
        </w:p>
        <w:p w:rsidR="002746BC" w:rsidRDefault="002746BC">
          <w:pPr>
            <w:pStyle w:val="20"/>
            <w:tabs>
              <w:tab w:val="right" w:leader="dot" w:pos="8296"/>
            </w:tabs>
            <w:rPr>
              <w:noProof/>
            </w:rPr>
          </w:pPr>
          <w:hyperlink w:anchor="_Toc12864196" w:history="1">
            <w:r w:rsidRPr="00E5579B">
              <w:rPr>
                <w:rStyle w:val="a7"/>
                <w:noProof/>
              </w:rPr>
              <w:t>2</w:t>
            </w:r>
            <w:r w:rsidRPr="00E5579B">
              <w:rPr>
                <w:rStyle w:val="a7"/>
                <w:rFonts w:hint="eastAsia"/>
                <w:noProof/>
              </w:rPr>
              <w:t>、其他部委文件</w:t>
            </w:r>
            <w:r>
              <w:rPr>
                <w:noProof/>
                <w:webHidden/>
              </w:rPr>
              <w:tab/>
            </w:r>
            <w:r>
              <w:rPr>
                <w:noProof/>
                <w:webHidden/>
              </w:rPr>
              <w:fldChar w:fldCharType="begin"/>
            </w:r>
            <w:r>
              <w:rPr>
                <w:noProof/>
                <w:webHidden/>
              </w:rPr>
              <w:instrText xml:space="preserve"> PAGEREF _Toc12864196 \h </w:instrText>
            </w:r>
            <w:r>
              <w:rPr>
                <w:noProof/>
                <w:webHidden/>
              </w:rPr>
            </w:r>
            <w:r>
              <w:rPr>
                <w:noProof/>
                <w:webHidden/>
              </w:rPr>
              <w:fldChar w:fldCharType="separate"/>
            </w:r>
            <w:r w:rsidR="000958AB">
              <w:rPr>
                <w:noProof/>
                <w:webHidden/>
              </w:rPr>
              <w:t>233</w:t>
            </w:r>
            <w:r>
              <w:rPr>
                <w:noProof/>
                <w:webHidden/>
              </w:rPr>
              <w:fldChar w:fldCharType="end"/>
            </w:r>
          </w:hyperlink>
        </w:p>
        <w:p w:rsidR="002746BC" w:rsidRDefault="002746BC">
          <w:pPr>
            <w:pStyle w:val="30"/>
            <w:rPr>
              <w:noProof/>
            </w:rPr>
          </w:pPr>
          <w:hyperlink w:anchor="_Toc12864197" w:history="1">
            <w:r w:rsidRPr="00E5579B">
              <w:rPr>
                <w:rStyle w:val="a7"/>
                <w:rFonts w:hint="eastAsia"/>
                <w:noProof/>
                <w:lang w:val="zh-CN"/>
              </w:rPr>
              <w:t>关于进一步增强企业债券服务实体经济能力严格防范地方债务风险的通知（发改办财金〔</w:t>
            </w:r>
            <w:r w:rsidRPr="00E5579B">
              <w:rPr>
                <w:rStyle w:val="a7"/>
                <w:noProof/>
                <w:lang w:val="zh-CN"/>
              </w:rPr>
              <w:t>2018</w:t>
            </w:r>
            <w:r w:rsidRPr="00E5579B">
              <w:rPr>
                <w:rStyle w:val="a7"/>
                <w:rFonts w:hint="eastAsia"/>
                <w:noProof/>
                <w:lang w:val="zh-CN"/>
              </w:rPr>
              <w:t>〕</w:t>
            </w:r>
            <w:r w:rsidRPr="00E5579B">
              <w:rPr>
                <w:rStyle w:val="a7"/>
                <w:noProof/>
                <w:lang w:val="zh-CN"/>
              </w:rPr>
              <w:t>194</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_Toc12864197 \h </w:instrText>
            </w:r>
            <w:r>
              <w:rPr>
                <w:noProof/>
                <w:webHidden/>
              </w:rPr>
            </w:r>
            <w:r>
              <w:rPr>
                <w:noProof/>
                <w:webHidden/>
              </w:rPr>
              <w:fldChar w:fldCharType="separate"/>
            </w:r>
            <w:r w:rsidR="000958AB">
              <w:rPr>
                <w:noProof/>
                <w:webHidden/>
              </w:rPr>
              <w:t>234</w:t>
            </w:r>
            <w:r>
              <w:rPr>
                <w:noProof/>
                <w:webHidden/>
              </w:rPr>
              <w:fldChar w:fldCharType="end"/>
            </w:r>
          </w:hyperlink>
        </w:p>
        <w:p w:rsidR="002746BC" w:rsidRDefault="002746BC">
          <w:pPr>
            <w:pStyle w:val="30"/>
            <w:rPr>
              <w:noProof/>
            </w:rPr>
          </w:pPr>
          <w:hyperlink w:anchor="_Toc12864198" w:history="1">
            <w:r w:rsidRPr="00E5579B">
              <w:rPr>
                <w:rStyle w:val="a7"/>
                <w:rFonts w:hint="eastAsia"/>
                <w:noProof/>
                <w:lang w:val="zh-CN"/>
              </w:rPr>
              <w:t>关于加强中央企业</w:t>
            </w:r>
            <w:r w:rsidRPr="00E5579B">
              <w:rPr>
                <w:rStyle w:val="a7"/>
                <w:noProof/>
                <w:lang w:val="zh-CN"/>
              </w:rPr>
              <w:t>PPP</w:t>
            </w:r>
            <w:r w:rsidRPr="00E5579B">
              <w:rPr>
                <w:rStyle w:val="a7"/>
                <w:rFonts w:hint="eastAsia"/>
                <w:noProof/>
                <w:lang w:val="zh-CN"/>
              </w:rPr>
              <w:t>业务风险管控的通知（国资发财管〔</w:t>
            </w:r>
            <w:r w:rsidRPr="00E5579B">
              <w:rPr>
                <w:rStyle w:val="a7"/>
                <w:noProof/>
                <w:lang w:val="zh-CN"/>
              </w:rPr>
              <w:t>2017</w:t>
            </w:r>
            <w:r w:rsidRPr="00E5579B">
              <w:rPr>
                <w:rStyle w:val="a7"/>
                <w:rFonts w:hint="eastAsia"/>
                <w:noProof/>
                <w:lang w:val="zh-CN"/>
              </w:rPr>
              <w:t>〕</w:t>
            </w:r>
            <w:r w:rsidRPr="00E5579B">
              <w:rPr>
                <w:rStyle w:val="a7"/>
                <w:noProof/>
                <w:lang w:val="zh-CN"/>
              </w:rPr>
              <w:t>192</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_Toc12864198 \h </w:instrText>
            </w:r>
            <w:r>
              <w:rPr>
                <w:noProof/>
                <w:webHidden/>
              </w:rPr>
            </w:r>
            <w:r>
              <w:rPr>
                <w:noProof/>
                <w:webHidden/>
              </w:rPr>
              <w:fldChar w:fldCharType="separate"/>
            </w:r>
            <w:r w:rsidR="000958AB">
              <w:rPr>
                <w:noProof/>
                <w:webHidden/>
              </w:rPr>
              <w:t>237</w:t>
            </w:r>
            <w:r>
              <w:rPr>
                <w:noProof/>
                <w:webHidden/>
              </w:rPr>
              <w:fldChar w:fldCharType="end"/>
            </w:r>
          </w:hyperlink>
        </w:p>
        <w:p w:rsidR="002746BC" w:rsidRDefault="002746BC">
          <w:pPr>
            <w:pStyle w:val="30"/>
            <w:rPr>
              <w:noProof/>
            </w:rPr>
          </w:pPr>
          <w:hyperlink w:anchor="_Toc12864199" w:history="1">
            <w:r w:rsidRPr="00E5579B">
              <w:rPr>
                <w:rStyle w:val="a7"/>
                <w:rFonts w:hint="eastAsia"/>
                <w:noProof/>
                <w:lang w:val="zh-CN"/>
              </w:rPr>
              <w:t>关于规范金融机构资产管理业务的指导意见（征求意见稿）</w:t>
            </w:r>
            <w:r>
              <w:rPr>
                <w:noProof/>
                <w:webHidden/>
              </w:rPr>
              <w:tab/>
            </w:r>
            <w:r>
              <w:rPr>
                <w:noProof/>
                <w:webHidden/>
              </w:rPr>
              <w:fldChar w:fldCharType="begin"/>
            </w:r>
            <w:r>
              <w:rPr>
                <w:noProof/>
                <w:webHidden/>
              </w:rPr>
              <w:instrText xml:space="preserve"> PAGEREF _Toc12864199 \h </w:instrText>
            </w:r>
            <w:r>
              <w:rPr>
                <w:noProof/>
                <w:webHidden/>
              </w:rPr>
            </w:r>
            <w:r>
              <w:rPr>
                <w:noProof/>
                <w:webHidden/>
              </w:rPr>
              <w:fldChar w:fldCharType="separate"/>
            </w:r>
            <w:r w:rsidR="000958AB">
              <w:rPr>
                <w:noProof/>
                <w:webHidden/>
              </w:rPr>
              <w:t>243</w:t>
            </w:r>
            <w:r>
              <w:rPr>
                <w:noProof/>
                <w:webHidden/>
              </w:rPr>
              <w:fldChar w:fldCharType="end"/>
            </w:r>
          </w:hyperlink>
        </w:p>
        <w:p w:rsidR="002746BC" w:rsidRDefault="002746BC">
          <w:pPr>
            <w:pStyle w:val="30"/>
            <w:rPr>
              <w:noProof/>
            </w:rPr>
          </w:pPr>
          <w:hyperlink w:anchor="_Toc12864200" w:history="1">
            <w:r w:rsidRPr="00E5579B">
              <w:rPr>
                <w:rStyle w:val="a7"/>
                <w:rFonts w:hint="eastAsia"/>
                <w:noProof/>
                <w:lang w:val="zh-CN"/>
              </w:rPr>
              <w:t>国家发展改革委办公厅关于印发《政府出资产业投资基金信用信息登记指引（试行）》的通知（发改办财金规〔</w:t>
            </w:r>
            <w:r w:rsidRPr="00E5579B">
              <w:rPr>
                <w:rStyle w:val="a7"/>
                <w:noProof/>
                <w:lang w:val="zh-CN"/>
              </w:rPr>
              <w:t>2017</w:t>
            </w:r>
            <w:r w:rsidRPr="00E5579B">
              <w:rPr>
                <w:rStyle w:val="a7"/>
                <w:rFonts w:hint="eastAsia"/>
                <w:noProof/>
                <w:lang w:val="zh-CN"/>
              </w:rPr>
              <w:t>〕</w:t>
            </w:r>
            <w:r w:rsidRPr="00E5579B">
              <w:rPr>
                <w:rStyle w:val="a7"/>
                <w:noProof/>
                <w:lang w:val="zh-CN"/>
              </w:rPr>
              <w:t>571</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_Toc12864200 \h </w:instrText>
            </w:r>
            <w:r>
              <w:rPr>
                <w:noProof/>
                <w:webHidden/>
              </w:rPr>
            </w:r>
            <w:r>
              <w:rPr>
                <w:noProof/>
                <w:webHidden/>
              </w:rPr>
              <w:fldChar w:fldCharType="separate"/>
            </w:r>
            <w:r w:rsidR="000958AB">
              <w:rPr>
                <w:noProof/>
                <w:webHidden/>
              </w:rPr>
              <w:t>263</w:t>
            </w:r>
            <w:r>
              <w:rPr>
                <w:noProof/>
                <w:webHidden/>
              </w:rPr>
              <w:fldChar w:fldCharType="end"/>
            </w:r>
          </w:hyperlink>
        </w:p>
        <w:p w:rsidR="002746BC" w:rsidRDefault="002746BC">
          <w:pPr>
            <w:pStyle w:val="30"/>
            <w:rPr>
              <w:noProof/>
            </w:rPr>
          </w:pPr>
          <w:hyperlink w:anchor="_Toc12864201" w:history="1">
            <w:r w:rsidRPr="00E5579B">
              <w:rPr>
                <w:rStyle w:val="a7"/>
                <w:rFonts w:hint="eastAsia"/>
                <w:noProof/>
                <w:lang w:val="zh-CN"/>
              </w:rPr>
              <w:t>中央预算内投资补助和贴息项目管理办法（</w:t>
            </w:r>
            <w:r w:rsidRPr="00E5579B">
              <w:rPr>
                <w:rStyle w:val="a7"/>
                <w:noProof/>
                <w:lang w:val="zh-CN"/>
              </w:rPr>
              <w:t>2016</w:t>
            </w:r>
            <w:r w:rsidRPr="00E5579B">
              <w:rPr>
                <w:rStyle w:val="a7"/>
                <w:rFonts w:hint="eastAsia"/>
                <w:noProof/>
                <w:lang w:val="zh-CN"/>
              </w:rPr>
              <w:t>）（国家发展和改革委员会令第</w:t>
            </w:r>
            <w:r w:rsidRPr="00E5579B">
              <w:rPr>
                <w:rStyle w:val="a7"/>
                <w:noProof/>
                <w:lang w:val="zh-CN"/>
              </w:rPr>
              <w:t>45</w:t>
            </w:r>
            <w:r w:rsidRPr="00E5579B">
              <w:rPr>
                <w:rStyle w:val="a7"/>
                <w:rFonts w:hint="eastAsia"/>
                <w:noProof/>
                <w:lang w:val="zh-CN"/>
              </w:rPr>
              <w:t>号）</w:t>
            </w:r>
            <w:r>
              <w:rPr>
                <w:noProof/>
                <w:webHidden/>
              </w:rPr>
              <w:tab/>
            </w:r>
            <w:r>
              <w:rPr>
                <w:noProof/>
                <w:webHidden/>
              </w:rPr>
              <w:fldChar w:fldCharType="begin"/>
            </w:r>
            <w:r>
              <w:rPr>
                <w:noProof/>
                <w:webHidden/>
              </w:rPr>
              <w:instrText xml:space="preserve"> PAGEREF _Toc12864201 \h </w:instrText>
            </w:r>
            <w:r>
              <w:rPr>
                <w:noProof/>
                <w:webHidden/>
              </w:rPr>
            </w:r>
            <w:r>
              <w:rPr>
                <w:noProof/>
                <w:webHidden/>
              </w:rPr>
              <w:fldChar w:fldCharType="separate"/>
            </w:r>
            <w:r w:rsidR="000958AB">
              <w:rPr>
                <w:noProof/>
                <w:webHidden/>
              </w:rPr>
              <w:t>272</w:t>
            </w:r>
            <w:r>
              <w:rPr>
                <w:noProof/>
                <w:webHidden/>
              </w:rPr>
              <w:fldChar w:fldCharType="end"/>
            </w:r>
          </w:hyperlink>
        </w:p>
        <w:p w:rsidR="002746BC" w:rsidRDefault="002746BC">
          <w:pPr>
            <w:pStyle w:val="20"/>
            <w:tabs>
              <w:tab w:val="right" w:leader="dot" w:pos="8296"/>
            </w:tabs>
            <w:rPr>
              <w:noProof/>
            </w:rPr>
          </w:pPr>
          <w:hyperlink w:anchor="_Toc12864202" w:history="1">
            <w:r w:rsidRPr="00E5579B">
              <w:rPr>
                <w:rStyle w:val="a7"/>
                <w:rFonts w:hint="eastAsia"/>
                <w:noProof/>
              </w:rPr>
              <w:t>（二）</w:t>
            </w:r>
            <w:r w:rsidRPr="00E5579B">
              <w:rPr>
                <w:rStyle w:val="a7"/>
                <w:noProof/>
              </w:rPr>
              <w:t>PPP</w:t>
            </w:r>
            <w:r w:rsidRPr="00E5579B">
              <w:rPr>
                <w:rStyle w:val="a7"/>
                <w:rFonts w:hint="eastAsia"/>
                <w:noProof/>
              </w:rPr>
              <w:t>融资支持类</w:t>
            </w:r>
            <w:r>
              <w:rPr>
                <w:noProof/>
                <w:webHidden/>
              </w:rPr>
              <w:tab/>
            </w:r>
            <w:r>
              <w:rPr>
                <w:noProof/>
                <w:webHidden/>
              </w:rPr>
              <w:fldChar w:fldCharType="begin"/>
            </w:r>
            <w:r>
              <w:rPr>
                <w:noProof/>
                <w:webHidden/>
              </w:rPr>
              <w:instrText xml:space="preserve"> PAGEREF _Toc12864202 \h </w:instrText>
            </w:r>
            <w:r>
              <w:rPr>
                <w:noProof/>
                <w:webHidden/>
              </w:rPr>
            </w:r>
            <w:r>
              <w:rPr>
                <w:noProof/>
                <w:webHidden/>
              </w:rPr>
              <w:fldChar w:fldCharType="separate"/>
            </w:r>
            <w:r w:rsidR="000958AB">
              <w:rPr>
                <w:noProof/>
                <w:webHidden/>
              </w:rPr>
              <w:t>281</w:t>
            </w:r>
            <w:r>
              <w:rPr>
                <w:noProof/>
                <w:webHidden/>
              </w:rPr>
              <w:fldChar w:fldCharType="end"/>
            </w:r>
          </w:hyperlink>
        </w:p>
        <w:p w:rsidR="002746BC" w:rsidRDefault="002746BC">
          <w:pPr>
            <w:pStyle w:val="20"/>
            <w:tabs>
              <w:tab w:val="right" w:leader="dot" w:pos="8296"/>
            </w:tabs>
            <w:rPr>
              <w:noProof/>
            </w:rPr>
          </w:pPr>
          <w:hyperlink w:anchor="_Toc12864203" w:history="1">
            <w:r w:rsidRPr="00E5579B">
              <w:rPr>
                <w:rStyle w:val="a7"/>
                <w:noProof/>
              </w:rPr>
              <w:t>1</w:t>
            </w:r>
            <w:r w:rsidRPr="00E5579B">
              <w:rPr>
                <w:rStyle w:val="a7"/>
                <w:rFonts w:hint="eastAsia"/>
                <w:noProof/>
              </w:rPr>
              <w:t>、财政部文件</w:t>
            </w:r>
            <w:r>
              <w:rPr>
                <w:noProof/>
                <w:webHidden/>
              </w:rPr>
              <w:tab/>
            </w:r>
            <w:r>
              <w:rPr>
                <w:noProof/>
                <w:webHidden/>
              </w:rPr>
              <w:fldChar w:fldCharType="begin"/>
            </w:r>
            <w:r>
              <w:rPr>
                <w:noProof/>
                <w:webHidden/>
              </w:rPr>
              <w:instrText xml:space="preserve"> PAGEREF _Toc12864203 \h </w:instrText>
            </w:r>
            <w:r>
              <w:rPr>
                <w:noProof/>
                <w:webHidden/>
              </w:rPr>
            </w:r>
            <w:r>
              <w:rPr>
                <w:noProof/>
                <w:webHidden/>
              </w:rPr>
              <w:fldChar w:fldCharType="separate"/>
            </w:r>
            <w:r w:rsidR="000958AB">
              <w:rPr>
                <w:noProof/>
                <w:webHidden/>
              </w:rPr>
              <w:t>281</w:t>
            </w:r>
            <w:r>
              <w:rPr>
                <w:noProof/>
                <w:webHidden/>
              </w:rPr>
              <w:fldChar w:fldCharType="end"/>
            </w:r>
          </w:hyperlink>
        </w:p>
        <w:p w:rsidR="002746BC" w:rsidRDefault="002746BC">
          <w:pPr>
            <w:pStyle w:val="30"/>
            <w:rPr>
              <w:noProof/>
            </w:rPr>
          </w:pPr>
          <w:hyperlink w:anchor="_Toc12864204" w:history="1">
            <w:r w:rsidRPr="00E5579B">
              <w:rPr>
                <w:rStyle w:val="a7"/>
                <w:rFonts w:hint="eastAsia"/>
                <w:noProof/>
              </w:rPr>
              <w:t>财政部关于做好地方政府债券发行工作的意见（财库〔</w:t>
            </w:r>
            <w:r w:rsidRPr="00E5579B">
              <w:rPr>
                <w:rStyle w:val="a7"/>
                <w:noProof/>
              </w:rPr>
              <w:t>2019</w:t>
            </w:r>
            <w:r w:rsidRPr="00E5579B">
              <w:rPr>
                <w:rStyle w:val="a7"/>
                <w:rFonts w:hint="eastAsia"/>
                <w:noProof/>
              </w:rPr>
              <w:t>〕</w:t>
            </w:r>
            <w:r w:rsidRPr="00E5579B">
              <w:rPr>
                <w:rStyle w:val="a7"/>
                <w:noProof/>
              </w:rPr>
              <w:t>23</w:t>
            </w:r>
            <w:r w:rsidRPr="00E5579B">
              <w:rPr>
                <w:rStyle w:val="a7"/>
                <w:rFonts w:hint="eastAsia"/>
                <w:noProof/>
              </w:rPr>
              <w:t>号）</w:t>
            </w:r>
            <w:r>
              <w:rPr>
                <w:noProof/>
                <w:webHidden/>
              </w:rPr>
              <w:tab/>
            </w:r>
            <w:r>
              <w:rPr>
                <w:noProof/>
                <w:webHidden/>
              </w:rPr>
              <w:fldChar w:fldCharType="begin"/>
            </w:r>
            <w:r>
              <w:rPr>
                <w:noProof/>
                <w:webHidden/>
              </w:rPr>
              <w:instrText xml:space="preserve"> PAGEREF _Toc12864204 \h </w:instrText>
            </w:r>
            <w:r>
              <w:rPr>
                <w:noProof/>
                <w:webHidden/>
              </w:rPr>
            </w:r>
            <w:r>
              <w:rPr>
                <w:noProof/>
                <w:webHidden/>
              </w:rPr>
              <w:fldChar w:fldCharType="separate"/>
            </w:r>
            <w:r w:rsidR="000958AB">
              <w:rPr>
                <w:noProof/>
                <w:webHidden/>
              </w:rPr>
              <w:t>282</w:t>
            </w:r>
            <w:r>
              <w:rPr>
                <w:noProof/>
                <w:webHidden/>
              </w:rPr>
              <w:fldChar w:fldCharType="end"/>
            </w:r>
          </w:hyperlink>
        </w:p>
        <w:p w:rsidR="002746BC" w:rsidRDefault="002746BC">
          <w:pPr>
            <w:pStyle w:val="30"/>
            <w:rPr>
              <w:noProof/>
            </w:rPr>
          </w:pPr>
          <w:hyperlink w:anchor="_Toc12864205" w:history="1">
            <w:r w:rsidRPr="00E5579B">
              <w:rPr>
                <w:rStyle w:val="a7"/>
                <w:rFonts w:hint="eastAsia"/>
                <w:noProof/>
              </w:rPr>
              <w:t>财政部关于做好地方政府专项债券发行工作的意见（财库〔</w:t>
            </w:r>
            <w:r w:rsidRPr="00E5579B">
              <w:rPr>
                <w:rStyle w:val="a7"/>
                <w:noProof/>
              </w:rPr>
              <w:t>2018</w:t>
            </w:r>
            <w:r w:rsidRPr="00E5579B">
              <w:rPr>
                <w:rStyle w:val="a7"/>
                <w:rFonts w:hint="eastAsia"/>
                <w:noProof/>
              </w:rPr>
              <w:t>〕</w:t>
            </w:r>
            <w:r w:rsidRPr="00E5579B">
              <w:rPr>
                <w:rStyle w:val="a7"/>
                <w:noProof/>
              </w:rPr>
              <w:t>72</w:t>
            </w:r>
            <w:r w:rsidRPr="00E5579B">
              <w:rPr>
                <w:rStyle w:val="a7"/>
                <w:rFonts w:hint="eastAsia"/>
                <w:noProof/>
              </w:rPr>
              <w:t>号）</w:t>
            </w:r>
            <w:r>
              <w:rPr>
                <w:noProof/>
                <w:webHidden/>
              </w:rPr>
              <w:tab/>
            </w:r>
            <w:r>
              <w:rPr>
                <w:noProof/>
                <w:webHidden/>
              </w:rPr>
              <w:fldChar w:fldCharType="begin"/>
            </w:r>
            <w:r>
              <w:rPr>
                <w:noProof/>
                <w:webHidden/>
              </w:rPr>
              <w:instrText xml:space="preserve"> PAGEREF _Toc12864205 \h </w:instrText>
            </w:r>
            <w:r>
              <w:rPr>
                <w:noProof/>
                <w:webHidden/>
              </w:rPr>
            </w:r>
            <w:r>
              <w:rPr>
                <w:noProof/>
                <w:webHidden/>
              </w:rPr>
              <w:fldChar w:fldCharType="separate"/>
            </w:r>
            <w:r w:rsidR="000958AB">
              <w:rPr>
                <w:noProof/>
                <w:webHidden/>
              </w:rPr>
              <w:t>287</w:t>
            </w:r>
            <w:r>
              <w:rPr>
                <w:noProof/>
                <w:webHidden/>
              </w:rPr>
              <w:fldChar w:fldCharType="end"/>
            </w:r>
          </w:hyperlink>
        </w:p>
        <w:p w:rsidR="002746BC" w:rsidRDefault="002746BC">
          <w:pPr>
            <w:pStyle w:val="30"/>
            <w:rPr>
              <w:noProof/>
            </w:rPr>
          </w:pPr>
          <w:hyperlink w:anchor="_Toc12864206" w:history="1">
            <w:r w:rsidRPr="00E5579B">
              <w:rPr>
                <w:rStyle w:val="a7"/>
                <w:rFonts w:hint="eastAsia"/>
                <w:noProof/>
              </w:rPr>
              <w:t>财政部</w:t>
            </w:r>
            <w:r w:rsidRPr="00E5579B">
              <w:rPr>
                <w:rStyle w:val="a7"/>
                <w:noProof/>
              </w:rPr>
              <w:t xml:space="preserve"> </w:t>
            </w:r>
            <w:r w:rsidRPr="00E5579B">
              <w:rPr>
                <w:rStyle w:val="a7"/>
                <w:rFonts w:hint="eastAsia"/>
                <w:noProof/>
              </w:rPr>
              <w:t>人民银行</w:t>
            </w:r>
            <w:r w:rsidRPr="00E5579B">
              <w:rPr>
                <w:rStyle w:val="a7"/>
                <w:noProof/>
              </w:rPr>
              <w:t xml:space="preserve"> </w:t>
            </w:r>
            <w:r w:rsidRPr="00E5579B">
              <w:rPr>
                <w:rStyle w:val="a7"/>
                <w:rFonts w:hint="eastAsia"/>
                <w:noProof/>
              </w:rPr>
              <w:t>证监会关于规范开展政府和社会资本合作项目资产证券化有关事宜的通知（财金〔</w:t>
            </w:r>
            <w:r w:rsidRPr="00E5579B">
              <w:rPr>
                <w:rStyle w:val="a7"/>
                <w:noProof/>
              </w:rPr>
              <w:t>2017</w:t>
            </w:r>
            <w:r w:rsidRPr="00E5579B">
              <w:rPr>
                <w:rStyle w:val="a7"/>
                <w:rFonts w:hint="eastAsia"/>
                <w:noProof/>
              </w:rPr>
              <w:t>〕</w:t>
            </w:r>
            <w:r w:rsidRPr="00E5579B">
              <w:rPr>
                <w:rStyle w:val="a7"/>
                <w:noProof/>
              </w:rPr>
              <w:t>55</w:t>
            </w:r>
            <w:r w:rsidRPr="00E5579B">
              <w:rPr>
                <w:rStyle w:val="a7"/>
                <w:rFonts w:hint="eastAsia"/>
                <w:noProof/>
              </w:rPr>
              <w:t>号）</w:t>
            </w:r>
            <w:r>
              <w:rPr>
                <w:noProof/>
                <w:webHidden/>
              </w:rPr>
              <w:tab/>
            </w:r>
            <w:r>
              <w:rPr>
                <w:noProof/>
                <w:webHidden/>
              </w:rPr>
              <w:fldChar w:fldCharType="begin"/>
            </w:r>
            <w:r>
              <w:rPr>
                <w:noProof/>
                <w:webHidden/>
              </w:rPr>
              <w:instrText xml:space="preserve"> PAGEREF _Toc12864206 \h </w:instrText>
            </w:r>
            <w:r>
              <w:rPr>
                <w:noProof/>
                <w:webHidden/>
              </w:rPr>
            </w:r>
            <w:r>
              <w:rPr>
                <w:noProof/>
                <w:webHidden/>
              </w:rPr>
              <w:fldChar w:fldCharType="separate"/>
            </w:r>
            <w:r w:rsidR="000958AB">
              <w:rPr>
                <w:noProof/>
                <w:webHidden/>
              </w:rPr>
              <w:t>290</w:t>
            </w:r>
            <w:r>
              <w:rPr>
                <w:noProof/>
                <w:webHidden/>
              </w:rPr>
              <w:fldChar w:fldCharType="end"/>
            </w:r>
          </w:hyperlink>
        </w:p>
        <w:p w:rsidR="002746BC" w:rsidRDefault="002746BC">
          <w:pPr>
            <w:pStyle w:val="30"/>
            <w:rPr>
              <w:noProof/>
            </w:rPr>
          </w:pPr>
          <w:hyperlink w:anchor="_Toc12864207" w:history="1">
            <w:r w:rsidRPr="00E5579B">
              <w:rPr>
                <w:rStyle w:val="a7"/>
                <w:rFonts w:hint="eastAsia"/>
                <w:noProof/>
              </w:rPr>
              <w:t>关于试点发展项目收益与融资自求平衡的地方政府专项债券品种的通知（财预〔</w:t>
            </w:r>
            <w:r w:rsidRPr="00E5579B">
              <w:rPr>
                <w:rStyle w:val="a7"/>
                <w:noProof/>
              </w:rPr>
              <w:t>2017</w:t>
            </w:r>
            <w:r w:rsidRPr="00E5579B">
              <w:rPr>
                <w:rStyle w:val="a7"/>
                <w:rFonts w:hint="eastAsia"/>
                <w:noProof/>
              </w:rPr>
              <w:t>〕</w:t>
            </w:r>
            <w:r w:rsidRPr="00E5579B">
              <w:rPr>
                <w:rStyle w:val="a7"/>
                <w:noProof/>
              </w:rPr>
              <w:t>89</w:t>
            </w:r>
            <w:r w:rsidRPr="00E5579B">
              <w:rPr>
                <w:rStyle w:val="a7"/>
                <w:rFonts w:hint="eastAsia"/>
                <w:noProof/>
              </w:rPr>
              <w:t>号）</w:t>
            </w:r>
            <w:r>
              <w:rPr>
                <w:noProof/>
                <w:webHidden/>
              </w:rPr>
              <w:tab/>
            </w:r>
            <w:r>
              <w:rPr>
                <w:noProof/>
                <w:webHidden/>
              </w:rPr>
              <w:fldChar w:fldCharType="begin"/>
            </w:r>
            <w:r>
              <w:rPr>
                <w:noProof/>
                <w:webHidden/>
              </w:rPr>
              <w:instrText xml:space="preserve"> PAGEREF _Toc12864207 \h </w:instrText>
            </w:r>
            <w:r>
              <w:rPr>
                <w:noProof/>
                <w:webHidden/>
              </w:rPr>
            </w:r>
            <w:r>
              <w:rPr>
                <w:noProof/>
                <w:webHidden/>
              </w:rPr>
              <w:fldChar w:fldCharType="separate"/>
            </w:r>
            <w:r w:rsidR="000958AB">
              <w:rPr>
                <w:noProof/>
                <w:webHidden/>
              </w:rPr>
              <w:t>296</w:t>
            </w:r>
            <w:r>
              <w:rPr>
                <w:noProof/>
                <w:webHidden/>
              </w:rPr>
              <w:fldChar w:fldCharType="end"/>
            </w:r>
          </w:hyperlink>
        </w:p>
        <w:p w:rsidR="002746BC" w:rsidRDefault="002746BC">
          <w:pPr>
            <w:pStyle w:val="30"/>
            <w:rPr>
              <w:noProof/>
            </w:rPr>
          </w:pPr>
          <w:hyperlink w:anchor="_Toc12864208" w:history="1">
            <w:r w:rsidRPr="00E5579B">
              <w:rPr>
                <w:rStyle w:val="a7"/>
                <w:rFonts w:hint="eastAsia"/>
                <w:noProof/>
              </w:rPr>
              <w:t>财政部关于实施政府和社会资本合作项目以奖代补政策的通知（财金〔</w:t>
            </w:r>
            <w:r w:rsidRPr="00E5579B">
              <w:rPr>
                <w:rStyle w:val="a7"/>
                <w:noProof/>
              </w:rPr>
              <w:t>2015</w:t>
            </w:r>
            <w:r w:rsidRPr="00E5579B">
              <w:rPr>
                <w:rStyle w:val="a7"/>
                <w:rFonts w:hint="eastAsia"/>
                <w:noProof/>
              </w:rPr>
              <w:t>〕</w:t>
            </w:r>
            <w:r w:rsidRPr="00E5579B">
              <w:rPr>
                <w:rStyle w:val="a7"/>
                <w:noProof/>
              </w:rPr>
              <w:t>158</w:t>
            </w:r>
            <w:r w:rsidRPr="00E5579B">
              <w:rPr>
                <w:rStyle w:val="a7"/>
                <w:rFonts w:hint="eastAsia"/>
                <w:noProof/>
              </w:rPr>
              <w:t>号）</w:t>
            </w:r>
            <w:r>
              <w:rPr>
                <w:noProof/>
                <w:webHidden/>
              </w:rPr>
              <w:tab/>
            </w:r>
            <w:r>
              <w:rPr>
                <w:noProof/>
                <w:webHidden/>
              </w:rPr>
              <w:fldChar w:fldCharType="begin"/>
            </w:r>
            <w:r>
              <w:rPr>
                <w:noProof/>
                <w:webHidden/>
              </w:rPr>
              <w:instrText xml:space="preserve"> PAGEREF _Toc12864208 \h </w:instrText>
            </w:r>
            <w:r>
              <w:rPr>
                <w:noProof/>
                <w:webHidden/>
              </w:rPr>
            </w:r>
            <w:r>
              <w:rPr>
                <w:noProof/>
                <w:webHidden/>
              </w:rPr>
              <w:fldChar w:fldCharType="separate"/>
            </w:r>
            <w:r w:rsidR="000958AB">
              <w:rPr>
                <w:noProof/>
                <w:webHidden/>
              </w:rPr>
              <w:t>302</w:t>
            </w:r>
            <w:r>
              <w:rPr>
                <w:noProof/>
                <w:webHidden/>
              </w:rPr>
              <w:fldChar w:fldCharType="end"/>
            </w:r>
          </w:hyperlink>
        </w:p>
        <w:p w:rsidR="002746BC" w:rsidRDefault="002746BC">
          <w:pPr>
            <w:pStyle w:val="30"/>
            <w:rPr>
              <w:noProof/>
            </w:rPr>
          </w:pPr>
          <w:hyperlink w:anchor="_Toc12864209" w:history="1">
            <w:r w:rsidRPr="00E5579B">
              <w:rPr>
                <w:rStyle w:val="a7"/>
                <w:rFonts w:hint="eastAsia"/>
                <w:noProof/>
              </w:rPr>
              <w:t>关于印发《地方政府专项债券发行管理暂行办法》的通知（财库〔</w:t>
            </w:r>
            <w:r w:rsidRPr="00E5579B">
              <w:rPr>
                <w:rStyle w:val="a7"/>
                <w:noProof/>
              </w:rPr>
              <w:t>2015</w:t>
            </w:r>
            <w:r w:rsidRPr="00E5579B">
              <w:rPr>
                <w:rStyle w:val="a7"/>
                <w:rFonts w:hint="eastAsia"/>
                <w:noProof/>
              </w:rPr>
              <w:t>〕</w:t>
            </w:r>
            <w:r w:rsidRPr="00E5579B">
              <w:rPr>
                <w:rStyle w:val="a7"/>
                <w:noProof/>
              </w:rPr>
              <w:t>83</w:t>
            </w:r>
            <w:r w:rsidRPr="00E5579B">
              <w:rPr>
                <w:rStyle w:val="a7"/>
                <w:rFonts w:hint="eastAsia"/>
                <w:noProof/>
              </w:rPr>
              <w:t>号）</w:t>
            </w:r>
            <w:r>
              <w:rPr>
                <w:noProof/>
                <w:webHidden/>
              </w:rPr>
              <w:tab/>
            </w:r>
            <w:r>
              <w:rPr>
                <w:noProof/>
                <w:webHidden/>
              </w:rPr>
              <w:fldChar w:fldCharType="begin"/>
            </w:r>
            <w:r>
              <w:rPr>
                <w:noProof/>
                <w:webHidden/>
              </w:rPr>
              <w:instrText xml:space="preserve"> PAGEREF _Toc12864209 \h </w:instrText>
            </w:r>
            <w:r>
              <w:rPr>
                <w:noProof/>
                <w:webHidden/>
              </w:rPr>
            </w:r>
            <w:r>
              <w:rPr>
                <w:noProof/>
                <w:webHidden/>
              </w:rPr>
              <w:fldChar w:fldCharType="separate"/>
            </w:r>
            <w:r w:rsidR="000958AB">
              <w:rPr>
                <w:noProof/>
                <w:webHidden/>
              </w:rPr>
              <w:t>306</w:t>
            </w:r>
            <w:r>
              <w:rPr>
                <w:noProof/>
                <w:webHidden/>
              </w:rPr>
              <w:fldChar w:fldCharType="end"/>
            </w:r>
          </w:hyperlink>
        </w:p>
        <w:p w:rsidR="002746BC" w:rsidRDefault="002746BC">
          <w:pPr>
            <w:pStyle w:val="20"/>
            <w:tabs>
              <w:tab w:val="right" w:leader="dot" w:pos="8296"/>
            </w:tabs>
            <w:rPr>
              <w:noProof/>
            </w:rPr>
          </w:pPr>
          <w:hyperlink w:anchor="_Toc12864210" w:history="1">
            <w:r w:rsidRPr="00E5579B">
              <w:rPr>
                <w:rStyle w:val="a7"/>
                <w:noProof/>
              </w:rPr>
              <w:t>2</w:t>
            </w:r>
            <w:r w:rsidRPr="00E5579B">
              <w:rPr>
                <w:rStyle w:val="a7"/>
                <w:rFonts w:hint="eastAsia"/>
                <w:noProof/>
              </w:rPr>
              <w:t>、发改委文件</w:t>
            </w:r>
            <w:r>
              <w:rPr>
                <w:noProof/>
                <w:webHidden/>
              </w:rPr>
              <w:tab/>
            </w:r>
            <w:r>
              <w:rPr>
                <w:noProof/>
                <w:webHidden/>
              </w:rPr>
              <w:fldChar w:fldCharType="begin"/>
            </w:r>
            <w:r>
              <w:rPr>
                <w:noProof/>
                <w:webHidden/>
              </w:rPr>
              <w:instrText xml:space="preserve"> PAGEREF _Toc12864210 \h </w:instrText>
            </w:r>
            <w:r>
              <w:rPr>
                <w:noProof/>
                <w:webHidden/>
              </w:rPr>
            </w:r>
            <w:r>
              <w:rPr>
                <w:noProof/>
                <w:webHidden/>
              </w:rPr>
              <w:fldChar w:fldCharType="separate"/>
            </w:r>
            <w:r w:rsidR="000958AB">
              <w:rPr>
                <w:noProof/>
                <w:webHidden/>
              </w:rPr>
              <w:t>312</w:t>
            </w:r>
            <w:r>
              <w:rPr>
                <w:noProof/>
                <w:webHidden/>
              </w:rPr>
              <w:fldChar w:fldCharType="end"/>
            </w:r>
          </w:hyperlink>
        </w:p>
        <w:p w:rsidR="002746BC" w:rsidRDefault="002746BC">
          <w:pPr>
            <w:pStyle w:val="30"/>
            <w:rPr>
              <w:noProof/>
            </w:rPr>
          </w:pPr>
          <w:hyperlink w:anchor="_Toc12864211" w:history="1">
            <w:r w:rsidRPr="00E5579B">
              <w:rPr>
                <w:rStyle w:val="a7"/>
                <w:rFonts w:hint="eastAsia"/>
                <w:noProof/>
              </w:rPr>
              <w:t>国家发展改革委办公厅关于印发《政府和社会资本合作（</w:t>
            </w:r>
            <w:r w:rsidRPr="00E5579B">
              <w:rPr>
                <w:rStyle w:val="a7"/>
                <w:noProof/>
              </w:rPr>
              <w:t>PPP</w:t>
            </w:r>
            <w:r w:rsidRPr="00E5579B">
              <w:rPr>
                <w:rStyle w:val="a7"/>
                <w:rFonts w:hint="eastAsia"/>
                <w:noProof/>
              </w:rPr>
              <w:t>）项目专项债券发行指引》的通知（发改办财金〔</w:t>
            </w:r>
            <w:r w:rsidRPr="00E5579B">
              <w:rPr>
                <w:rStyle w:val="a7"/>
                <w:noProof/>
              </w:rPr>
              <w:t>2017</w:t>
            </w:r>
            <w:r w:rsidRPr="00E5579B">
              <w:rPr>
                <w:rStyle w:val="a7"/>
                <w:rFonts w:hint="eastAsia"/>
                <w:noProof/>
              </w:rPr>
              <w:t>〕</w:t>
            </w:r>
            <w:r w:rsidRPr="00E5579B">
              <w:rPr>
                <w:rStyle w:val="a7"/>
                <w:noProof/>
              </w:rPr>
              <w:t>730</w:t>
            </w:r>
            <w:r w:rsidRPr="00E5579B">
              <w:rPr>
                <w:rStyle w:val="a7"/>
                <w:rFonts w:hint="eastAsia"/>
                <w:noProof/>
              </w:rPr>
              <w:t>号）</w:t>
            </w:r>
            <w:r>
              <w:rPr>
                <w:noProof/>
                <w:webHidden/>
              </w:rPr>
              <w:tab/>
            </w:r>
            <w:r>
              <w:rPr>
                <w:noProof/>
                <w:webHidden/>
              </w:rPr>
              <w:fldChar w:fldCharType="begin"/>
            </w:r>
            <w:r>
              <w:rPr>
                <w:noProof/>
                <w:webHidden/>
              </w:rPr>
              <w:instrText xml:space="preserve"> PAGEREF _Toc12864211 \h </w:instrText>
            </w:r>
            <w:r>
              <w:rPr>
                <w:noProof/>
                <w:webHidden/>
              </w:rPr>
            </w:r>
            <w:r>
              <w:rPr>
                <w:noProof/>
                <w:webHidden/>
              </w:rPr>
              <w:fldChar w:fldCharType="separate"/>
            </w:r>
            <w:r w:rsidR="000958AB">
              <w:rPr>
                <w:noProof/>
                <w:webHidden/>
              </w:rPr>
              <w:t>313</w:t>
            </w:r>
            <w:r>
              <w:rPr>
                <w:noProof/>
                <w:webHidden/>
              </w:rPr>
              <w:fldChar w:fldCharType="end"/>
            </w:r>
          </w:hyperlink>
        </w:p>
        <w:p w:rsidR="002746BC" w:rsidRDefault="002746BC">
          <w:pPr>
            <w:pStyle w:val="30"/>
            <w:rPr>
              <w:noProof/>
            </w:rPr>
          </w:pPr>
          <w:hyperlink w:anchor="_Toc12864212" w:history="1">
            <w:r w:rsidRPr="00E5579B">
              <w:rPr>
                <w:rStyle w:val="a7"/>
                <w:rFonts w:hint="eastAsia"/>
                <w:noProof/>
              </w:rPr>
              <w:t>国家发展改革委关于印发《政府出资产业投资基金管理暂行办法》的通知（发改财金规〔</w:t>
            </w:r>
            <w:r w:rsidRPr="00E5579B">
              <w:rPr>
                <w:rStyle w:val="a7"/>
                <w:noProof/>
              </w:rPr>
              <w:t>2016</w:t>
            </w:r>
            <w:r w:rsidRPr="00E5579B">
              <w:rPr>
                <w:rStyle w:val="a7"/>
                <w:rFonts w:hint="eastAsia"/>
                <w:noProof/>
              </w:rPr>
              <w:t>〕</w:t>
            </w:r>
            <w:r w:rsidRPr="00E5579B">
              <w:rPr>
                <w:rStyle w:val="a7"/>
                <w:noProof/>
              </w:rPr>
              <w:t>2800</w:t>
            </w:r>
            <w:r w:rsidRPr="00E5579B">
              <w:rPr>
                <w:rStyle w:val="a7"/>
                <w:rFonts w:hint="eastAsia"/>
                <w:noProof/>
              </w:rPr>
              <w:t>号）</w:t>
            </w:r>
            <w:r>
              <w:rPr>
                <w:noProof/>
                <w:webHidden/>
              </w:rPr>
              <w:tab/>
            </w:r>
            <w:r>
              <w:rPr>
                <w:noProof/>
                <w:webHidden/>
              </w:rPr>
              <w:fldChar w:fldCharType="begin"/>
            </w:r>
            <w:r>
              <w:rPr>
                <w:noProof/>
                <w:webHidden/>
              </w:rPr>
              <w:instrText xml:space="preserve"> PAGEREF _Toc12864212 \h </w:instrText>
            </w:r>
            <w:r>
              <w:rPr>
                <w:noProof/>
                <w:webHidden/>
              </w:rPr>
            </w:r>
            <w:r>
              <w:rPr>
                <w:noProof/>
                <w:webHidden/>
              </w:rPr>
              <w:fldChar w:fldCharType="separate"/>
            </w:r>
            <w:r w:rsidR="000958AB">
              <w:rPr>
                <w:noProof/>
                <w:webHidden/>
              </w:rPr>
              <w:t>318</w:t>
            </w:r>
            <w:r>
              <w:rPr>
                <w:noProof/>
                <w:webHidden/>
              </w:rPr>
              <w:fldChar w:fldCharType="end"/>
            </w:r>
          </w:hyperlink>
        </w:p>
        <w:p w:rsidR="002746BC" w:rsidRDefault="002746BC">
          <w:pPr>
            <w:pStyle w:val="30"/>
            <w:rPr>
              <w:noProof/>
            </w:rPr>
          </w:pPr>
          <w:hyperlink w:anchor="_Toc12864213" w:history="1">
            <w:r w:rsidRPr="00E5579B">
              <w:rPr>
                <w:rStyle w:val="a7"/>
                <w:rFonts w:hint="eastAsia"/>
                <w:noProof/>
              </w:rPr>
              <w:t>国家发展改革委</w:t>
            </w:r>
            <w:r w:rsidRPr="00E5579B">
              <w:rPr>
                <w:rStyle w:val="a7"/>
                <w:noProof/>
              </w:rPr>
              <w:t xml:space="preserve"> </w:t>
            </w:r>
            <w:r w:rsidRPr="00E5579B">
              <w:rPr>
                <w:rStyle w:val="a7"/>
                <w:rFonts w:hint="eastAsia"/>
                <w:noProof/>
              </w:rPr>
              <w:t>中国证监会关于推进传统基础设施领域政府和社会资本合作（</w:t>
            </w:r>
            <w:r w:rsidRPr="00E5579B">
              <w:rPr>
                <w:rStyle w:val="a7"/>
                <w:noProof/>
              </w:rPr>
              <w:t>PPP</w:t>
            </w:r>
            <w:r w:rsidRPr="00E5579B">
              <w:rPr>
                <w:rStyle w:val="a7"/>
                <w:rFonts w:hint="eastAsia"/>
                <w:noProof/>
              </w:rPr>
              <w:t>）项目资产证券化相关工作的通知（发改投资〔</w:t>
            </w:r>
            <w:r w:rsidRPr="00E5579B">
              <w:rPr>
                <w:rStyle w:val="a7"/>
                <w:noProof/>
              </w:rPr>
              <w:t>2016</w:t>
            </w:r>
            <w:r w:rsidRPr="00E5579B">
              <w:rPr>
                <w:rStyle w:val="a7"/>
                <w:rFonts w:hint="eastAsia"/>
                <w:noProof/>
              </w:rPr>
              <w:t>〕</w:t>
            </w:r>
            <w:r w:rsidRPr="00E5579B">
              <w:rPr>
                <w:rStyle w:val="a7"/>
                <w:noProof/>
              </w:rPr>
              <w:t>2698</w:t>
            </w:r>
            <w:r w:rsidRPr="00E5579B">
              <w:rPr>
                <w:rStyle w:val="a7"/>
                <w:rFonts w:hint="eastAsia"/>
                <w:noProof/>
              </w:rPr>
              <w:t>号）</w:t>
            </w:r>
            <w:r>
              <w:rPr>
                <w:noProof/>
                <w:webHidden/>
              </w:rPr>
              <w:tab/>
            </w:r>
            <w:r>
              <w:rPr>
                <w:noProof/>
                <w:webHidden/>
              </w:rPr>
              <w:fldChar w:fldCharType="begin"/>
            </w:r>
            <w:r>
              <w:rPr>
                <w:noProof/>
                <w:webHidden/>
              </w:rPr>
              <w:instrText xml:space="preserve"> PAGEREF _Toc12864213 \h </w:instrText>
            </w:r>
            <w:r>
              <w:rPr>
                <w:noProof/>
                <w:webHidden/>
              </w:rPr>
            </w:r>
            <w:r>
              <w:rPr>
                <w:noProof/>
                <w:webHidden/>
              </w:rPr>
              <w:fldChar w:fldCharType="separate"/>
            </w:r>
            <w:r w:rsidR="000958AB">
              <w:rPr>
                <w:noProof/>
                <w:webHidden/>
              </w:rPr>
              <w:t>331</w:t>
            </w:r>
            <w:r>
              <w:rPr>
                <w:noProof/>
                <w:webHidden/>
              </w:rPr>
              <w:fldChar w:fldCharType="end"/>
            </w:r>
          </w:hyperlink>
        </w:p>
        <w:p w:rsidR="002746BC" w:rsidRDefault="002746BC">
          <w:pPr>
            <w:pStyle w:val="30"/>
            <w:rPr>
              <w:noProof/>
            </w:rPr>
          </w:pPr>
          <w:hyperlink w:anchor="_Toc12864214" w:history="1">
            <w:r w:rsidRPr="00E5579B">
              <w:rPr>
                <w:rStyle w:val="a7"/>
                <w:rFonts w:hint="eastAsia"/>
                <w:noProof/>
              </w:rPr>
              <w:t>国家发展改革委办公厅关于印发《市场化银行债权转股权专项债券发行指引》的通知（发改办财金〔</w:t>
            </w:r>
            <w:r w:rsidRPr="00E5579B">
              <w:rPr>
                <w:rStyle w:val="a7"/>
                <w:noProof/>
              </w:rPr>
              <w:t>2016</w:t>
            </w:r>
            <w:r w:rsidRPr="00E5579B">
              <w:rPr>
                <w:rStyle w:val="a7"/>
                <w:rFonts w:hint="eastAsia"/>
                <w:noProof/>
              </w:rPr>
              <w:t>〕</w:t>
            </w:r>
            <w:r w:rsidRPr="00E5579B">
              <w:rPr>
                <w:rStyle w:val="a7"/>
                <w:noProof/>
              </w:rPr>
              <w:t>2735</w:t>
            </w:r>
            <w:r w:rsidRPr="00E5579B">
              <w:rPr>
                <w:rStyle w:val="a7"/>
                <w:rFonts w:hint="eastAsia"/>
                <w:noProof/>
              </w:rPr>
              <w:t>号）</w:t>
            </w:r>
            <w:r>
              <w:rPr>
                <w:noProof/>
                <w:webHidden/>
              </w:rPr>
              <w:tab/>
            </w:r>
            <w:r>
              <w:rPr>
                <w:noProof/>
                <w:webHidden/>
              </w:rPr>
              <w:fldChar w:fldCharType="begin"/>
            </w:r>
            <w:r>
              <w:rPr>
                <w:noProof/>
                <w:webHidden/>
              </w:rPr>
              <w:instrText xml:space="preserve"> PAGEREF _Toc12864214 \h </w:instrText>
            </w:r>
            <w:r>
              <w:rPr>
                <w:noProof/>
                <w:webHidden/>
              </w:rPr>
            </w:r>
            <w:r>
              <w:rPr>
                <w:noProof/>
                <w:webHidden/>
              </w:rPr>
              <w:fldChar w:fldCharType="separate"/>
            </w:r>
            <w:r w:rsidR="000958AB">
              <w:rPr>
                <w:noProof/>
                <w:webHidden/>
              </w:rPr>
              <w:t>336</w:t>
            </w:r>
            <w:r>
              <w:rPr>
                <w:noProof/>
                <w:webHidden/>
              </w:rPr>
              <w:fldChar w:fldCharType="end"/>
            </w:r>
          </w:hyperlink>
        </w:p>
        <w:p w:rsidR="002746BC" w:rsidRDefault="002746BC">
          <w:pPr>
            <w:pStyle w:val="30"/>
            <w:rPr>
              <w:noProof/>
            </w:rPr>
          </w:pPr>
          <w:hyperlink w:anchor="_Toc12864215" w:history="1">
            <w:r w:rsidRPr="00E5579B">
              <w:rPr>
                <w:rStyle w:val="a7"/>
                <w:rFonts w:hint="eastAsia"/>
                <w:noProof/>
              </w:rPr>
              <w:t>国家发展改革委办公厅关于印发《绿色债券发行指引》的通知（发改办财金〔</w:t>
            </w:r>
            <w:r w:rsidRPr="00E5579B">
              <w:rPr>
                <w:rStyle w:val="a7"/>
                <w:noProof/>
              </w:rPr>
              <w:t>2015</w:t>
            </w:r>
            <w:r w:rsidRPr="00E5579B">
              <w:rPr>
                <w:rStyle w:val="a7"/>
                <w:rFonts w:hint="eastAsia"/>
                <w:noProof/>
              </w:rPr>
              <w:t>〕</w:t>
            </w:r>
            <w:r w:rsidRPr="00E5579B">
              <w:rPr>
                <w:rStyle w:val="a7"/>
                <w:noProof/>
              </w:rPr>
              <w:t>3504</w:t>
            </w:r>
            <w:r w:rsidRPr="00E5579B">
              <w:rPr>
                <w:rStyle w:val="a7"/>
                <w:rFonts w:hint="eastAsia"/>
                <w:noProof/>
              </w:rPr>
              <w:t>号）</w:t>
            </w:r>
            <w:r>
              <w:rPr>
                <w:noProof/>
                <w:webHidden/>
              </w:rPr>
              <w:tab/>
            </w:r>
            <w:r>
              <w:rPr>
                <w:noProof/>
                <w:webHidden/>
              </w:rPr>
              <w:fldChar w:fldCharType="begin"/>
            </w:r>
            <w:r>
              <w:rPr>
                <w:noProof/>
                <w:webHidden/>
              </w:rPr>
              <w:instrText xml:space="preserve"> PAGEREF _Toc12864215 \h </w:instrText>
            </w:r>
            <w:r>
              <w:rPr>
                <w:noProof/>
                <w:webHidden/>
              </w:rPr>
            </w:r>
            <w:r>
              <w:rPr>
                <w:noProof/>
                <w:webHidden/>
              </w:rPr>
              <w:fldChar w:fldCharType="separate"/>
            </w:r>
            <w:r w:rsidR="000958AB">
              <w:rPr>
                <w:noProof/>
                <w:webHidden/>
              </w:rPr>
              <w:t>340</w:t>
            </w:r>
            <w:r>
              <w:rPr>
                <w:noProof/>
                <w:webHidden/>
              </w:rPr>
              <w:fldChar w:fldCharType="end"/>
            </w:r>
          </w:hyperlink>
        </w:p>
        <w:p w:rsidR="002746BC" w:rsidRDefault="002746BC">
          <w:pPr>
            <w:pStyle w:val="30"/>
            <w:rPr>
              <w:noProof/>
            </w:rPr>
          </w:pPr>
          <w:hyperlink w:anchor="_Toc12864216" w:history="1">
            <w:r w:rsidRPr="00E5579B">
              <w:rPr>
                <w:rStyle w:val="a7"/>
                <w:rFonts w:hint="eastAsia"/>
                <w:noProof/>
              </w:rPr>
              <w:t>国家发展改革委办公厅关于印发《项目收益债券管理暂行办法》的通知（发改办财金〔</w:t>
            </w:r>
            <w:r w:rsidRPr="00E5579B">
              <w:rPr>
                <w:rStyle w:val="a7"/>
                <w:noProof/>
              </w:rPr>
              <w:t>2015</w:t>
            </w:r>
            <w:r w:rsidRPr="00E5579B">
              <w:rPr>
                <w:rStyle w:val="a7"/>
                <w:rFonts w:hint="eastAsia"/>
                <w:noProof/>
              </w:rPr>
              <w:t>〕</w:t>
            </w:r>
            <w:r w:rsidRPr="00E5579B">
              <w:rPr>
                <w:rStyle w:val="a7"/>
                <w:noProof/>
              </w:rPr>
              <w:t>2010</w:t>
            </w:r>
            <w:r w:rsidRPr="00E5579B">
              <w:rPr>
                <w:rStyle w:val="a7"/>
                <w:rFonts w:hint="eastAsia"/>
                <w:noProof/>
              </w:rPr>
              <w:t>号）</w:t>
            </w:r>
            <w:r>
              <w:rPr>
                <w:noProof/>
                <w:webHidden/>
              </w:rPr>
              <w:tab/>
            </w:r>
            <w:r>
              <w:rPr>
                <w:noProof/>
                <w:webHidden/>
              </w:rPr>
              <w:fldChar w:fldCharType="begin"/>
            </w:r>
            <w:r>
              <w:rPr>
                <w:noProof/>
                <w:webHidden/>
              </w:rPr>
              <w:instrText xml:space="preserve"> PAGEREF _Toc12864216 \h </w:instrText>
            </w:r>
            <w:r>
              <w:rPr>
                <w:noProof/>
                <w:webHidden/>
              </w:rPr>
            </w:r>
            <w:r>
              <w:rPr>
                <w:noProof/>
                <w:webHidden/>
              </w:rPr>
              <w:fldChar w:fldCharType="separate"/>
            </w:r>
            <w:r w:rsidR="000958AB">
              <w:rPr>
                <w:noProof/>
                <w:webHidden/>
              </w:rPr>
              <w:t>348</w:t>
            </w:r>
            <w:r>
              <w:rPr>
                <w:noProof/>
                <w:webHidden/>
              </w:rPr>
              <w:fldChar w:fldCharType="end"/>
            </w:r>
          </w:hyperlink>
        </w:p>
        <w:p w:rsidR="002746BC" w:rsidRDefault="002746BC">
          <w:pPr>
            <w:pStyle w:val="30"/>
            <w:rPr>
              <w:noProof/>
            </w:rPr>
          </w:pPr>
          <w:hyperlink w:anchor="_Toc12864217" w:history="1">
            <w:r w:rsidRPr="00E5579B">
              <w:rPr>
                <w:rStyle w:val="a7"/>
                <w:rFonts w:hint="eastAsia"/>
                <w:noProof/>
              </w:rPr>
              <w:t>国家发展改革委办公厅关于充分发挥企业债券融资功能支持重点项目建设促进经济平稳较快发展的通知（发改办财金〔</w:t>
            </w:r>
            <w:r w:rsidRPr="00E5579B">
              <w:rPr>
                <w:rStyle w:val="a7"/>
                <w:noProof/>
              </w:rPr>
              <w:t>2015</w:t>
            </w:r>
            <w:r w:rsidRPr="00E5579B">
              <w:rPr>
                <w:rStyle w:val="a7"/>
                <w:rFonts w:hint="eastAsia"/>
                <w:noProof/>
              </w:rPr>
              <w:t>〕</w:t>
            </w:r>
            <w:r w:rsidRPr="00E5579B">
              <w:rPr>
                <w:rStyle w:val="a7"/>
                <w:noProof/>
              </w:rPr>
              <w:t>1327</w:t>
            </w:r>
            <w:r w:rsidRPr="00E5579B">
              <w:rPr>
                <w:rStyle w:val="a7"/>
                <w:rFonts w:hint="eastAsia"/>
                <w:noProof/>
              </w:rPr>
              <w:t>号）</w:t>
            </w:r>
            <w:r>
              <w:rPr>
                <w:noProof/>
                <w:webHidden/>
              </w:rPr>
              <w:tab/>
            </w:r>
            <w:r>
              <w:rPr>
                <w:noProof/>
                <w:webHidden/>
              </w:rPr>
              <w:fldChar w:fldCharType="begin"/>
            </w:r>
            <w:r>
              <w:rPr>
                <w:noProof/>
                <w:webHidden/>
              </w:rPr>
              <w:instrText xml:space="preserve"> PAGEREF _Toc12864217 \h </w:instrText>
            </w:r>
            <w:r>
              <w:rPr>
                <w:noProof/>
                <w:webHidden/>
              </w:rPr>
            </w:r>
            <w:r>
              <w:rPr>
                <w:noProof/>
                <w:webHidden/>
              </w:rPr>
              <w:fldChar w:fldCharType="separate"/>
            </w:r>
            <w:r w:rsidR="000958AB">
              <w:rPr>
                <w:noProof/>
                <w:webHidden/>
              </w:rPr>
              <w:t>361</w:t>
            </w:r>
            <w:r>
              <w:rPr>
                <w:noProof/>
                <w:webHidden/>
              </w:rPr>
              <w:fldChar w:fldCharType="end"/>
            </w:r>
          </w:hyperlink>
        </w:p>
        <w:p w:rsidR="002746BC" w:rsidRDefault="002746BC">
          <w:pPr>
            <w:pStyle w:val="30"/>
            <w:rPr>
              <w:noProof/>
            </w:rPr>
          </w:pPr>
          <w:hyperlink w:anchor="_Toc12864218" w:history="1">
            <w:r w:rsidRPr="00E5579B">
              <w:rPr>
                <w:rStyle w:val="a7"/>
                <w:rFonts w:hint="eastAsia"/>
                <w:noProof/>
              </w:rPr>
              <w:t>国家发展改革委办公厅关于印发《战略性新兴产业专项债券发行指引》的通知（发改办财金〔</w:t>
            </w:r>
            <w:r w:rsidRPr="00E5579B">
              <w:rPr>
                <w:rStyle w:val="a7"/>
                <w:noProof/>
              </w:rPr>
              <w:t>2015</w:t>
            </w:r>
            <w:r w:rsidRPr="00E5579B">
              <w:rPr>
                <w:rStyle w:val="a7"/>
                <w:rFonts w:hint="eastAsia"/>
                <w:noProof/>
              </w:rPr>
              <w:t>〕</w:t>
            </w:r>
            <w:r w:rsidRPr="00E5579B">
              <w:rPr>
                <w:rStyle w:val="a7"/>
                <w:noProof/>
              </w:rPr>
              <w:t>756</w:t>
            </w:r>
            <w:r w:rsidRPr="00E5579B">
              <w:rPr>
                <w:rStyle w:val="a7"/>
                <w:rFonts w:hint="eastAsia"/>
                <w:noProof/>
              </w:rPr>
              <w:t>号）</w:t>
            </w:r>
            <w:r>
              <w:rPr>
                <w:noProof/>
                <w:webHidden/>
              </w:rPr>
              <w:tab/>
            </w:r>
            <w:r>
              <w:rPr>
                <w:noProof/>
                <w:webHidden/>
              </w:rPr>
              <w:fldChar w:fldCharType="begin"/>
            </w:r>
            <w:r>
              <w:rPr>
                <w:noProof/>
                <w:webHidden/>
              </w:rPr>
              <w:instrText xml:space="preserve"> PAGEREF _Toc12864218 \h </w:instrText>
            </w:r>
            <w:r>
              <w:rPr>
                <w:noProof/>
                <w:webHidden/>
              </w:rPr>
            </w:r>
            <w:r>
              <w:rPr>
                <w:noProof/>
                <w:webHidden/>
              </w:rPr>
              <w:fldChar w:fldCharType="separate"/>
            </w:r>
            <w:r w:rsidR="000958AB">
              <w:rPr>
                <w:noProof/>
                <w:webHidden/>
              </w:rPr>
              <w:t>364</w:t>
            </w:r>
            <w:r>
              <w:rPr>
                <w:noProof/>
                <w:webHidden/>
              </w:rPr>
              <w:fldChar w:fldCharType="end"/>
            </w:r>
          </w:hyperlink>
        </w:p>
        <w:p w:rsidR="002746BC" w:rsidRDefault="002746BC">
          <w:pPr>
            <w:pStyle w:val="30"/>
            <w:rPr>
              <w:noProof/>
            </w:rPr>
          </w:pPr>
          <w:hyperlink w:anchor="_Toc12864219" w:history="1">
            <w:r w:rsidRPr="00E5579B">
              <w:rPr>
                <w:rStyle w:val="a7"/>
                <w:rFonts w:hint="eastAsia"/>
                <w:noProof/>
              </w:rPr>
              <w:t>国家发展改革委</w:t>
            </w:r>
            <w:r w:rsidRPr="00E5579B">
              <w:rPr>
                <w:rStyle w:val="a7"/>
                <w:noProof/>
              </w:rPr>
              <w:t xml:space="preserve"> </w:t>
            </w:r>
            <w:r w:rsidRPr="00E5579B">
              <w:rPr>
                <w:rStyle w:val="a7"/>
                <w:rFonts w:hint="eastAsia"/>
                <w:noProof/>
              </w:rPr>
              <w:t>国家开发银行关于推进开发性金融支持政府和社会资本合作有关工作的通知（发改投资〔</w:t>
            </w:r>
            <w:r w:rsidRPr="00E5579B">
              <w:rPr>
                <w:rStyle w:val="a7"/>
                <w:noProof/>
              </w:rPr>
              <w:t>2015</w:t>
            </w:r>
            <w:r w:rsidRPr="00E5579B">
              <w:rPr>
                <w:rStyle w:val="a7"/>
                <w:rFonts w:hint="eastAsia"/>
                <w:noProof/>
              </w:rPr>
              <w:t>〕</w:t>
            </w:r>
            <w:r w:rsidRPr="00E5579B">
              <w:rPr>
                <w:rStyle w:val="a7"/>
                <w:noProof/>
              </w:rPr>
              <w:t>445</w:t>
            </w:r>
            <w:r w:rsidRPr="00E5579B">
              <w:rPr>
                <w:rStyle w:val="a7"/>
                <w:rFonts w:hint="eastAsia"/>
                <w:noProof/>
              </w:rPr>
              <w:t>号）</w:t>
            </w:r>
            <w:r>
              <w:rPr>
                <w:noProof/>
                <w:webHidden/>
              </w:rPr>
              <w:tab/>
            </w:r>
            <w:r>
              <w:rPr>
                <w:noProof/>
                <w:webHidden/>
              </w:rPr>
              <w:fldChar w:fldCharType="begin"/>
            </w:r>
            <w:r>
              <w:rPr>
                <w:noProof/>
                <w:webHidden/>
              </w:rPr>
              <w:instrText xml:space="preserve"> PAGEREF _Toc12864219 \h </w:instrText>
            </w:r>
            <w:r>
              <w:rPr>
                <w:noProof/>
                <w:webHidden/>
              </w:rPr>
            </w:r>
            <w:r>
              <w:rPr>
                <w:noProof/>
                <w:webHidden/>
              </w:rPr>
              <w:fldChar w:fldCharType="separate"/>
            </w:r>
            <w:r w:rsidR="000958AB">
              <w:rPr>
                <w:noProof/>
                <w:webHidden/>
              </w:rPr>
              <w:t>368</w:t>
            </w:r>
            <w:r>
              <w:rPr>
                <w:noProof/>
                <w:webHidden/>
              </w:rPr>
              <w:fldChar w:fldCharType="end"/>
            </w:r>
          </w:hyperlink>
        </w:p>
        <w:p w:rsidR="002746BC" w:rsidRDefault="002746BC">
          <w:pPr>
            <w:pStyle w:val="20"/>
            <w:tabs>
              <w:tab w:val="right" w:leader="dot" w:pos="8296"/>
            </w:tabs>
            <w:rPr>
              <w:noProof/>
            </w:rPr>
          </w:pPr>
          <w:hyperlink w:anchor="_Toc12864220" w:history="1">
            <w:r w:rsidRPr="00E5579B">
              <w:rPr>
                <w:rStyle w:val="a7"/>
                <w:noProof/>
              </w:rPr>
              <w:t>3</w:t>
            </w:r>
            <w:r w:rsidRPr="00E5579B">
              <w:rPr>
                <w:rStyle w:val="a7"/>
                <w:rFonts w:hint="eastAsia"/>
                <w:noProof/>
              </w:rPr>
              <w:t>、央行文件</w:t>
            </w:r>
            <w:r>
              <w:rPr>
                <w:noProof/>
                <w:webHidden/>
              </w:rPr>
              <w:tab/>
            </w:r>
            <w:r>
              <w:rPr>
                <w:noProof/>
                <w:webHidden/>
              </w:rPr>
              <w:fldChar w:fldCharType="begin"/>
            </w:r>
            <w:r>
              <w:rPr>
                <w:noProof/>
                <w:webHidden/>
              </w:rPr>
              <w:instrText xml:space="preserve"> PAGEREF _Toc12864220 \h </w:instrText>
            </w:r>
            <w:r>
              <w:rPr>
                <w:noProof/>
                <w:webHidden/>
              </w:rPr>
            </w:r>
            <w:r>
              <w:rPr>
                <w:noProof/>
                <w:webHidden/>
              </w:rPr>
              <w:fldChar w:fldCharType="separate"/>
            </w:r>
            <w:r w:rsidR="000958AB">
              <w:rPr>
                <w:noProof/>
                <w:webHidden/>
              </w:rPr>
              <w:t>371</w:t>
            </w:r>
            <w:r>
              <w:rPr>
                <w:noProof/>
                <w:webHidden/>
              </w:rPr>
              <w:fldChar w:fldCharType="end"/>
            </w:r>
          </w:hyperlink>
        </w:p>
        <w:p w:rsidR="002746BC" w:rsidRDefault="002746BC">
          <w:pPr>
            <w:pStyle w:val="30"/>
            <w:rPr>
              <w:noProof/>
            </w:rPr>
          </w:pPr>
          <w:hyperlink w:anchor="_Toc12864221" w:history="1">
            <w:r w:rsidRPr="00E5579B">
              <w:rPr>
                <w:rStyle w:val="a7"/>
                <w:rFonts w:hint="eastAsia"/>
                <w:noProof/>
              </w:rPr>
              <w:t>中国人民银行办公厅关于进一步明确规范金融机构资产管理业务指导意见有关事项的通知</w:t>
            </w:r>
            <w:r>
              <w:rPr>
                <w:noProof/>
                <w:webHidden/>
              </w:rPr>
              <w:tab/>
            </w:r>
            <w:r>
              <w:rPr>
                <w:noProof/>
                <w:webHidden/>
              </w:rPr>
              <w:fldChar w:fldCharType="begin"/>
            </w:r>
            <w:r>
              <w:rPr>
                <w:noProof/>
                <w:webHidden/>
              </w:rPr>
              <w:instrText xml:space="preserve"> PAGEREF _Toc12864221 \h </w:instrText>
            </w:r>
            <w:r>
              <w:rPr>
                <w:noProof/>
                <w:webHidden/>
              </w:rPr>
            </w:r>
            <w:r>
              <w:rPr>
                <w:noProof/>
                <w:webHidden/>
              </w:rPr>
              <w:fldChar w:fldCharType="separate"/>
            </w:r>
            <w:r w:rsidR="000958AB">
              <w:rPr>
                <w:noProof/>
                <w:webHidden/>
              </w:rPr>
              <w:t>372</w:t>
            </w:r>
            <w:r>
              <w:rPr>
                <w:noProof/>
                <w:webHidden/>
              </w:rPr>
              <w:fldChar w:fldCharType="end"/>
            </w:r>
          </w:hyperlink>
        </w:p>
        <w:p w:rsidR="002746BC" w:rsidRDefault="002746BC">
          <w:pPr>
            <w:pStyle w:val="30"/>
            <w:rPr>
              <w:noProof/>
            </w:rPr>
          </w:pPr>
          <w:hyperlink w:anchor="_Toc12864222" w:history="1">
            <w:r w:rsidRPr="00E5579B">
              <w:rPr>
                <w:rStyle w:val="a7"/>
                <w:rFonts w:hint="eastAsia"/>
                <w:noProof/>
              </w:rPr>
              <w:t>应收账款质押登记办法（中国人民银行令〔</w:t>
            </w:r>
            <w:r w:rsidRPr="00E5579B">
              <w:rPr>
                <w:rStyle w:val="a7"/>
                <w:noProof/>
              </w:rPr>
              <w:t>2017</w:t>
            </w:r>
            <w:r w:rsidRPr="00E5579B">
              <w:rPr>
                <w:rStyle w:val="a7"/>
                <w:rFonts w:hint="eastAsia"/>
                <w:noProof/>
              </w:rPr>
              <w:t>〕第</w:t>
            </w:r>
            <w:r w:rsidRPr="00E5579B">
              <w:rPr>
                <w:rStyle w:val="a7"/>
                <w:noProof/>
              </w:rPr>
              <w:t>3</w:t>
            </w:r>
            <w:r w:rsidRPr="00E5579B">
              <w:rPr>
                <w:rStyle w:val="a7"/>
                <w:rFonts w:hint="eastAsia"/>
                <w:noProof/>
              </w:rPr>
              <w:t>号）</w:t>
            </w:r>
            <w:r>
              <w:rPr>
                <w:noProof/>
                <w:webHidden/>
              </w:rPr>
              <w:tab/>
            </w:r>
            <w:r>
              <w:rPr>
                <w:noProof/>
                <w:webHidden/>
              </w:rPr>
              <w:fldChar w:fldCharType="begin"/>
            </w:r>
            <w:r>
              <w:rPr>
                <w:noProof/>
                <w:webHidden/>
              </w:rPr>
              <w:instrText xml:space="preserve"> PAGEREF _Toc12864222 \h </w:instrText>
            </w:r>
            <w:r>
              <w:rPr>
                <w:noProof/>
                <w:webHidden/>
              </w:rPr>
            </w:r>
            <w:r>
              <w:rPr>
                <w:noProof/>
                <w:webHidden/>
              </w:rPr>
              <w:fldChar w:fldCharType="separate"/>
            </w:r>
            <w:r w:rsidR="000958AB">
              <w:rPr>
                <w:noProof/>
                <w:webHidden/>
              </w:rPr>
              <w:t>385</w:t>
            </w:r>
            <w:r>
              <w:rPr>
                <w:noProof/>
                <w:webHidden/>
              </w:rPr>
              <w:fldChar w:fldCharType="end"/>
            </w:r>
          </w:hyperlink>
        </w:p>
        <w:p w:rsidR="002746BC" w:rsidRDefault="002746BC">
          <w:pPr>
            <w:pStyle w:val="20"/>
            <w:tabs>
              <w:tab w:val="right" w:leader="dot" w:pos="8296"/>
            </w:tabs>
            <w:rPr>
              <w:noProof/>
            </w:rPr>
          </w:pPr>
          <w:hyperlink w:anchor="_Toc12864223" w:history="1">
            <w:r w:rsidRPr="00E5579B">
              <w:rPr>
                <w:rStyle w:val="a7"/>
                <w:noProof/>
              </w:rPr>
              <w:t>4</w:t>
            </w:r>
            <w:r w:rsidRPr="00E5579B">
              <w:rPr>
                <w:rStyle w:val="a7"/>
                <w:rFonts w:hint="eastAsia"/>
                <w:noProof/>
              </w:rPr>
              <w:t>、保监会文件</w:t>
            </w:r>
            <w:r>
              <w:rPr>
                <w:noProof/>
                <w:webHidden/>
              </w:rPr>
              <w:tab/>
            </w:r>
            <w:r>
              <w:rPr>
                <w:noProof/>
                <w:webHidden/>
              </w:rPr>
              <w:fldChar w:fldCharType="begin"/>
            </w:r>
            <w:r>
              <w:rPr>
                <w:noProof/>
                <w:webHidden/>
              </w:rPr>
              <w:instrText xml:space="preserve"> PAGEREF _Toc12864223 \h </w:instrText>
            </w:r>
            <w:r>
              <w:rPr>
                <w:noProof/>
                <w:webHidden/>
              </w:rPr>
            </w:r>
            <w:r>
              <w:rPr>
                <w:noProof/>
                <w:webHidden/>
              </w:rPr>
              <w:fldChar w:fldCharType="separate"/>
            </w:r>
            <w:r w:rsidR="000958AB">
              <w:rPr>
                <w:noProof/>
                <w:webHidden/>
              </w:rPr>
              <w:t>392</w:t>
            </w:r>
            <w:r>
              <w:rPr>
                <w:noProof/>
                <w:webHidden/>
              </w:rPr>
              <w:fldChar w:fldCharType="end"/>
            </w:r>
          </w:hyperlink>
        </w:p>
        <w:p w:rsidR="002746BC" w:rsidRDefault="002746BC">
          <w:pPr>
            <w:pStyle w:val="30"/>
            <w:rPr>
              <w:noProof/>
            </w:rPr>
          </w:pPr>
          <w:hyperlink w:anchor="_Toc12864224" w:history="1">
            <w:r w:rsidRPr="00E5579B">
              <w:rPr>
                <w:rStyle w:val="a7"/>
                <w:rFonts w:hint="eastAsia"/>
                <w:noProof/>
              </w:rPr>
              <w:t>关于加强保险资金运用管理支持防范化解地方政府债务风险的指导意见（保监发〔</w:t>
            </w:r>
            <w:r w:rsidRPr="00E5579B">
              <w:rPr>
                <w:rStyle w:val="a7"/>
                <w:noProof/>
              </w:rPr>
              <w:t>2018</w:t>
            </w:r>
            <w:r w:rsidRPr="00E5579B">
              <w:rPr>
                <w:rStyle w:val="a7"/>
                <w:rFonts w:hint="eastAsia"/>
                <w:noProof/>
              </w:rPr>
              <w:t>〕</w:t>
            </w:r>
            <w:r w:rsidRPr="00E5579B">
              <w:rPr>
                <w:rStyle w:val="a7"/>
                <w:noProof/>
              </w:rPr>
              <w:t>6</w:t>
            </w:r>
            <w:r w:rsidRPr="00E5579B">
              <w:rPr>
                <w:rStyle w:val="a7"/>
                <w:rFonts w:hint="eastAsia"/>
                <w:noProof/>
              </w:rPr>
              <w:t>号）</w:t>
            </w:r>
            <w:r>
              <w:rPr>
                <w:noProof/>
                <w:webHidden/>
              </w:rPr>
              <w:tab/>
            </w:r>
            <w:r>
              <w:rPr>
                <w:noProof/>
                <w:webHidden/>
              </w:rPr>
              <w:fldChar w:fldCharType="begin"/>
            </w:r>
            <w:r>
              <w:rPr>
                <w:noProof/>
                <w:webHidden/>
              </w:rPr>
              <w:instrText xml:space="preserve"> PAGEREF _Toc12864224 \h </w:instrText>
            </w:r>
            <w:r>
              <w:rPr>
                <w:noProof/>
                <w:webHidden/>
              </w:rPr>
            </w:r>
            <w:r>
              <w:rPr>
                <w:noProof/>
                <w:webHidden/>
              </w:rPr>
              <w:fldChar w:fldCharType="separate"/>
            </w:r>
            <w:r w:rsidR="000958AB">
              <w:rPr>
                <w:noProof/>
                <w:webHidden/>
              </w:rPr>
              <w:t>393</w:t>
            </w:r>
            <w:r>
              <w:rPr>
                <w:noProof/>
                <w:webHidden/>
              </w:rPr>
              <w:fldChar w:fldCharType="end"/>
            </w:r>
          </w:hyperlink>
        </w:p>
        <w:p w:rsidR="002746BC" w:rsidRDefault="002746BC">
          <w:pPr>
            <w:pStyle w:val="30"/>
            <w:rPr>
              <w:noProof/>
            </w:rPr>
          </w:pPr>
          <w:hyperlink w:anchor="_Toc12864225" w:history="1">
            <w:r w:rsidRPr="00E5579B">
              <w:rPr>
                <w:rStyle w:val="a7"/>
                <w:rFonts w:hint="eastAsia"/>
                <w:noProof/>
              </w:rPr>
              <w:t>保监会发布《关于债权投资计划投资重大工程有关事项的通知》</w:t>
            </w:r>
            <w:r>
              <w:rPr>
                <w:noProof/>
                <w:webHidden/>
              </w:rPr>
              <w:tab/>
            </w:r>
            <w:r>
              <w:rPr>
                <w:noProof/>
                <w:webHidden/>
              </w:rPr>
              <w:fldChar w:fldCharType="begin"/>
            </w:r>
            <w:r>
              <w:rPr>
                <w:noProof/>
                <w:webHidden/>
              </w:rPr>
              <w:instrText xml:space="preserve"> PAGEREF _Toc12864225 \h </w:instrText>
            </w:r>
            <w:r>
              <w:rPr>
                <w:noProof/>
                <w:webHidden/>
              </w:rPr>
            </w:r>
            <w:r>
              <w:rPr>
                <w:noProof/>
                <w:webHidden/>
              </w:rPr>
              <w:fldChar w:fldCharType="separate"/>
            </w:r>
            <w:r w:rsidR="000958AB">
              <w:rPr>
                <w:noProof/>
                <w:webHidden/>
              </w:rPr>
              <w:t>397</w:t>
            </w:r>
            <w:r>
              <w:rPr>
                <w:noProof/>
                <w:webHidden/>
              </w:rPr>
              <w:fldChar w:fldCharType="end"/>
            </w:r>
          </w:hyperlink>
        </w:p>
        <w:p w:rsidR="002746BC" w:rsidRDefault="002746BC">
          <w:pPr>
            <w:pStyle w:val="30"/>
            <w:rPr>
              <w:noProof/>
            </w:rPr>
          </w:pPr>
          <w:hyperlink w:anchor="_Toc12864226" w:history="1">
            <w:r w:rsidRPr="00E5579B">
              <w:rPr>
                <w:rStyle w:val="a7"/>
                <w:rFonts w:hint="eastAsia"/>
                <w:noProof/>
              </w:rPr>
              <w:t>中国保监会关于保险资金投资政府和社会资本合作项目有关事项的通知（保监发〔</w:t>
            </w:r>
            <w:r w:rsidRPr="00E5579B">
              <w:rPr>
                <w:rStyle w:val="a7"/>
                <w:noProof/>
              </w:rPr>
              <w:t>2017</w:t>
            </w:r>
            <w:r w:rsidRPr="00E5579B">
              <w:rPr>
                <w:rStyle w:val="a7"/>
                <w:rFonts w:hint="eastAsia"/>
                <w:noProof/>
              </w:rPr>
              <w:t>〕</w:t>
            </w:r>
            <w:r w:rsidRPr="00E5579B">
              <w:rPr>
                <w:rStyle w:val="a7"/>
                <w:noProof/>
              </w:rPr>
              <w:t>41</w:t>
            </w:r>
            <w:r w:rsidRPr="00E5579B">
              <w:rPr>
                <w:rStyle w:val="a7"/>
                <w:rFonts w:hint="eastAsia"/>
                <w:noProof/>
              </w:rPr>
              <w:t>号）</w:t>
            </w:r>
            <w:r>
              <w:rPr>
                <w:noProof/>
                <w:webHidden/>
              </w:rPr>
              <w:tab/>
            </w:r>
            <w:r>
              <w:rPr>
                <w:noProof/>
                <w:webHidden/>
              </w:rPr>
              <w:fldChar w:fldCharType="begin"/>
            </w:r>
            <w:r>
              <w:rPr>
                <w:noProof/>
                <w:webHidden/>
              </w:rPr>
              <w:instrText xml:space="preserve"> PAGEREF _Toc12864226 \h </w:instrText>
            </w:r>
            <w:r>
              <w:rPr>
                <w:noProof/>
                <w:webHidden/>
              </w:rPr>
            </w:r>
            <w:r>
              <w:rPr>
                <w:noProof/>
                <w:webHidden/>
              </w:rPr>
              <w:fldChar w:fldCharType="separate"/>
            </w:r>
            <w:r w:rsidR="000958AB">
              <w:rPr>
                <w:noProof/>
                <w:webHidden/>
              </w:rPr>
              <w:t>398</w:t>
            </w:r>
            <w:r>
              <w:rPr>
                <w:noProof/>
                <w:webHidden/>
              </w:rPr>
              <w:fldChar w:fldCharType="end"/>
            </w:r>
          </w:hyperlink>
        </w:p>
        <w:p w:rsidR="002746BC" w:rsidRDefault="002746BC">
          <w:pPr>
            <w:pStyle w:val="30"/>
            <w:rPr>
              <w:noProof/>
            </w:rPr>
          </w:pPr>
          <w:hyperlink w:anchor="_Toc12864227" w:history="1">
            <w:r w:rsidRPr="00E5579B">
              <w:rPr>
                <w:rStyle w:val="a7"/>
                <w:rFonts w:hint="eastAsia"/>
                <w:noProof/>
              </w:rPr>
              <w:t>中国保监会关于保险业支持实体经济发展的指导意见（保监发〔</w:t>
            </w:r>
            <w:r w:rsidRPr="00E5579B">
              <w:rPr>
                <w:rStyle w:val="a7"/>
                <w:noProof/>
              </w:rPr>
              <w:t>2017</w:t>
            </w:r>
            <w:r w:rsidRPr="00E5579B">
              <w:rPr>
                <w:rStyle w:val="a7"/>
                <w:rFonts w:hint="eastAsia"/>
                <w:noProof/>
              </w:rPr>
              <w:t>〕</w:t>
            </w:r>
            <w:r w:rsidRPr="00E5579B">
              <w:rPr>
                <w:rStyle w:val="a7"/>
                <w:noProof/>
              </w:rPr>
              <w:t>42</w:t>
            </w:r>
            <w:r w:rsidRPr="00E5579B">
              <w:rPr>
                <w:rStyle w:val="a7"/>
                <w:rFonts w:hint="eastAsia"/>
                <w:noProof/>
              </w:rPr>
              <w:t>号）</w:t>
            </w:r>
            <w:r>
              <w:rPr>
                <w:noProof/>
                <w:webHidden/>
              </w:rPr>
              <w:tab/>
            </w:r>
            <w:r>
              <w:rPr>
                <w:noProof/>
                <w:webHidden/>
              </w:rPr>
              <w:fldChar w:fldCharType="begin"/>
            </w:r>
            <w:r>
              <w:rPr>
                <w:noProof/>
                <w:webHidden/>
              </w:rPr>
              <w:instrText xml:space="preserve"> PAGEREF _Toc12864227 \h </w:instrText>
            </w:r>
            <w:r>
              <w:rPr>
                <w:noProof/>
                <w:webHidden/>
              </w:rPr>
            </w:r>
            <w:r>
              <w:rPr>
                <w:noProof/>
                <w:webHidden/>
              </w:rPr>
              <w:fldChar w:fldCharType="separate"/>
            </w:r>
            <w:r w:rsidR="000958AB">
              <w:rPr>
                <w:noProof/>
                <w:webHidden/>
              </w:rPr>
              <w:t>401</w:t>
            </w:r>
            <w:r>
              <w:rPr>
                <w:noProof/>
                <w:webHidden/>
              </w:rPr>
              <w:fldChar w:fldCharType="end"/>
            </w:r>
          </w:hyperlink>
        </w:p>
        <w:p w:rsidR="002746BC" w:rsidRDefault="002746BC">
          <w:pPr>
            <w:pStyle w:val="20"/>
            <w:tabs>
              <w:tab w:val="right" w:leader="dot" w:pos="8296"/>
            </w:tabs>
            <w:rPr>
              <w:noProof/>
            </w:rPr>
          </w:pPr>
          <w:hyperlink w:anchor="_Toc12864228" w:history="1">
            <w:r w:rsidRPr="00E5579B">
              <w:rPr>
                <w:rStyle w:val="a7"/>
                <w:noProof/>
              </w:rPr>
              <w:t>5</w:t>
            </w:r>
            <w:r w:rsidRPr="00E5579B">
              <w:rPr>
                <w:rStyle w:val="a7"/>
                <w:rFonts w:hint="eastAsia"/>
                <w:noProof/>
              </w:rPr>
              <w:t>、交易所文件</w:t>
            </w:r>
            <w:r>
              <w:rPr>
                <w:noProof/>
                <w:webHidden/>
              </w:rPr>
              <w:tab/>
            </w:r>
            <w:r>
              <w:rPr>
                <w:noProof/>
                <w:webHidden/>
              </w:rPr>
              <w:fldChar w:fldCharType="begin"/>
            </w:r>
            <w:r>
              <w:rPr>
                <w:noProof/>
                <w:webHidden/>
              </w:rPr>
              <w:instrText xml:space="preserve"> PAGEREF _Toc12864228 \h </w:instrText>
            </w:r>
            <w:r>
              <w:rPr>
                <w:noProof/>
                <w:webHidden/>
              </w:rPr>
            </w:r>
            <w:r>
              <w:rPr>
                <w:noProof/>
                <w:webHidden/>
              </w:rPr>
              <w:fldChar w:fldCharType="separate"/>
            </w:r>
            <w:r w:rsidR="000958AB">
              <w:rPr>
                <w:noProof/>
                <w:webHidden/>
              </w:rPr>
              <w:t>407</w:t>
            </w:r>
            <w:r>
              <w:rPr>
                <w:noProof/>
                <w:webHidden/>
              </w:rPr>
              <w:fldChar w:fldCharType="end"/>
            </w:r>
          </w:hyperlink>
        </w:p>
        <w:p w:rsidR="002746BC" w:rsidRDefault="002746BC">
          <w:pPr>
            <w:pStyle w:val="30"/>
            <w:rPr>
              <w:noProof/>
            </w:rPr>
          </w:pPr>
          <w:hyperlink w:anchor="_Toc12864229" w:history="1">
            <w:r w:rsidRPr="00E5579B">
              <w:rPr>
                <w:rStyle w:val="a7"/>
                <w:rFonts w:hint="eastAsia"/>
                <w:noProof/>
              </w:rPr>
              <w:t>上海证券交易所政府和社会资本合作（</w:t>
            </w:r>
            <w:r w:rsidRPr="00E5579B">
              <w:rPr>
                <w:rStyle w:val="a7"/>
                <w:noProof/>
              </w:rPr>
              <w:t>PPP</w:t>
            </w:r>
            <w:r w:rsidRPr="00E5579B">
              <w:rPr>
                <w:rStyle w:val="a7"/>
                <w:rFonts w:hint="eastAsia"/>
                <w:noProof/>
              </w:rPr>
              <w:t>）项目资产支持证券挂牌条件确认指南</w:t>
            </w:r>
            <w:r>
              <w:rPr>
                <w:noProof/>
                <w:webHidden/>
              </w:rPr>
              <w:tab/>
            </w:r>
            <w:r>
              <w:rPr>
                <w:noProof/>
                <w:webHidden/>
              </w:rPr>
              <w:fldChar w:fldCharType="begin"/>
            </w:r>
            <w:r>
              <w:rPr>
                <w:noProof/>
                <w:webHidden/>
              </w:rPr>
              <w:instrText xml:space="preserve"> PAGEREF _Toc12864229 \h </w:instrText>
            </w:r>
            <w:r>
              <w:rPr>
                <w:noProof/>
                <w:webHidden/>
              </w:rPr>
            </w:r>
            <w:r>
              <w:rPr>
                <w:noProof/>
                <w:webHidden/>
              </w:rPr>
              <w:fldChar w:fldCharType="separate"/>
            </w:r>
            <w:r w:rsidR="000958AB">
              <w:rPr>
                <w:noProof/>
                <w:webHidden/>
              </w:rPr>
              <w:t>408</w:t>
            </w:r>
            <w:r>
              <w:rPr>
                <w:noProof/>
                <w:webHidden/>
              </w:rPr>
              <w:fldChar w:fldCharType="end"/>
            </w:r>
          </w:hyperlink>
        </w:p>
        <w:p w:rsidR="002746BC" w:rsidRDefault="002746BC">
          <w:pPr>
            <w:pStyle w:val="30"/>
            <w:rPr>
              <w:noProof/>
            </w:rPr>
          </w:pPr>
          <w:hyperlink w:anchor="_Toc12864230" w:history="1">
            <w:r w:rsidRPr="00E5579B">
              <w:rPr>
                <w:rStyle w:val="a7"/>
                <w:rFonts w:hint="eastAsia"/>
                <w:noProof/>
              </w:rPr>
              <w:t>上海证券交易所政府和社会资本合作（</w:t>
            </w:r>
            <w:r w:rsidRPr="00E5579B">
              <w:rPr>
                <w:rStyle w:val="a7"/>
                <w:noProof/>
              </w:rPr>
              <w:t>PPP</w:t>
            </w:r>
            <w:r w:rsidRPr="00E5579B">
              <w:rPr>
                <w:rStyle w:val="a7"/>
                <w:rFonts w:hint="eastAsia"/>
                <w:noProof/>
              </w:rPr>
              <w:t>）项目资产支持证券信息披露指南（上海证券交易所</w:t>
            </w:r>
            <w:r w:rsidRPr="00E5579B">
              <w:rPr>
                <w:rStyle w:val="a7"/>
                <w:noProof/>
              </w:rPr>
              <w:t>2017</w:t>
            </w:r>
            <w:r w:rsidRPr="00E5579B">
              <w:rPr>
                <w:rStyle w:val="a7"/>
                <w:rFonts w:hint="eastAsia"/>
                <w:noProof/>
              </w:rPr>
              <w:t>年</w:t>
            </w:r>
            <w:r w:rsidRPr="00E5579B">
              <w:rPr>
                <w:rStyle w:val="a7"/>
                <w:noProof/>
              </w:rPr>
              <w:t>10</w:t>
            </w:r>
            <w:r w:rsidRPr="00E5579B">
              <w:rPr>
                <w:rStyle w:val="a7"/>
                <w:rFonts w:hint="eastAsia"/>
                <w:noProof/>
              </w:rPr>
              <w:t>月</w:t>
            </w:r>
            <w:r w:rsidRPr="00E5579B">
              <w:rPr>
                <w:rStyle w:val="a7"/>
                <w:noProof/>
              </w:rPr>
              <w:t>19</w:t>
            </w:r>
            <w:r w:rsidRPr="00E5579B">
              <w:rPr>
                <w:rStyle w:val="a7"/>
                <w:rFonts w:hint="eastAsia"/>
                <w:noProof/>
              </w:rPr>
              <w:t>日）</w:t>
            </w:r>
            <w:r>
              <w:rPr>
                <w:noProof/>
                <w:webHidden/>
              </w:rPr>
              <w:tab/>
            </w:r>
            <w:r>
              <w:rPr>
                <w:noProof/>
                <w:webHidden/>
              </w:rPr>
              <w:fldChar w:fldCharType="begin"/>
            </w:r>
            <w:r>
              <w:rPr>
                <w:noProof/>
                <w:webHidden/>
              </w:rPr>
              <w:instrText xml:space="preserve"> PAGEREF _Toc12864230 \h </w:instrText>
            </w:r>
            <w:r>
              <w:rPr>
                <w:noProof/>
                <w:webHidden/>
              </w:rPr>
            </w:r>
            <w:r>
              <w:rPr>
                <w:noProof/>
                <w:webHidden/>
              </w:rPr>
              <w:fldChar w:fldCharType="separate"/>
            </w:r>
            <w:r w:rsidR="000958AB">
              <w:rPr>
                <w:noProof/>
                <w:webHidden/>
              </w:rPr>
              <w:t>417</w:t>
            </w:r>
            <w:r>
              <w:rPr>
                <w:noProof/>
                <w:webHidden/>
              </w:rPr>
              <w:fldChar w:fldCharType="end"/>
            </w:r>
          </w:hyperlink>
        </w:p>
        <w:p w:rsidR="002746BC" w:rsidRDefault="002746BC">
          <w:pPr>
            <w:pStyle w:val="30"/>
            <w:rPr>
              <w:noProof/>
            </w:rPr>
          </w:pPr>
          <w:hyperlink w:anchor="_Toc12864231" w:history="1">
            <w:r w:rsidRPr="00E5579B">
              <w:rPr>
                <w:rStyle w:val="a7"/>
                <w:rFonts w:hint="eastAsia"/>
                <w:noProof/>
              </w:rPr>
              <w:t>关于发布《深圳证券交易所政府和社会资本合作（</w:t>
            </w:r>
            <w:r w:rsidRPr="00E5579B">
              <w:rPr>
                <w:rStyle w:val="a7"/>
                <w:noProof/>
              </w:rPr>
              <w:t>PPP</w:t>
            </w:r>
            <w:r w:rsidRPr="00E5579B">
              <w:rPr>
                <w:rStyle w:val="a7"/>
                <w:rFonts w:hint="eastAsia"/>
                <w:noProof/>
              </w:rPr>
              <w:t>）项目资产支持证券挂牌条件确认指南》、《深圳证券交易所政府和社会资本合作（</w:t>
            </w:r>
            <w:r w:rsidRPr="00E5579B">
              <w:rPr>
                <w:rStyle w:val="a7"/>
                <w:noProof/>
              </w:rPr>
              <w:t>PPP</w:t>
            </w:r>
            <w:r w:rsidRPr="00E5579B">
              <w:rPr>
                <w:rStyle w:val="a7"/>
                <w:rFonts w:hint="eastAsia"/>
                <w:noProof/>
              </w:rPr>
              <w:t>）项目资产支持证券信息披露指南》的通知</w:t>
            </w:r>
            <w:r>
              <w:rPr>
                <w:noProof/>
                <w:webHidden/>
              </w:rPr>
              <w:tab/>
            </w:r>
            <w:r>
              <w:rPr>
                <w:noProof/>
                <w:webHidden/>
              </w:rPr>
              <w:fldChar w:fldCharType="begin"/>
            </w:r>
            <w:r>
              <w:rPr>
                <w:noProof/>
                <w:webHidden/>
              </w:rPr>
              <w:instrText xml:space="preserve"> PAGEREF _Toc12864231 \h </w:instrText>
            </w:r>
            <w:r>
              <w:rPr>
                <w:noProof/>
                <w:webHidden/>
              </w:rPr>
            </w:r>
            <w:r>
              <w:rPr>
                <w:noProof/>
                <w:webHidden/>
              </w:rPr>
              <w:fldChar w:fldCharType="separate"/>
            </w:r>
            <w:r w:rsidR="000958AB">
              <w:rPr>
                <w:noProof/>
                <w:webHidden/>
              </w:rPr>
              <w:t>428</w:t>
            </w:r>
            <w:r>
              <w:rPr>
                <w:noProof/>
                <w:webHidden/>
              </w:rPr>
              <w:fldChar w:fldCharType="end"/>
            </w:r>
          </w:hyperlink>
        </w:p>
        <w:p w:rsidR="002746BC" w:rsidRDefault="002746BC">
          <w:pPr>
            <w:pStyle w:val="30"/>
            <w:rPr>
              <w:noProof/>
            </w:rPr>
          </w:pPr>
          <w:hyperlink w:anchor="_Toc12864232" w:history="1">
            <w:r w:rsidRPr="00E5579B">
              <w:rPr>
                <w:rStyle w:val="a7"/>
                <w:rFonts w:hint="eastAsia"/>
                <w:noProof/>
              </w:rPr>
              <w:t>关于进一步推进政府和社会资本合作（</w:t>
            </w:r>
            <w:r w:rsidRPr="00E5579B">
              <w:rPr>
                <w:rStyle w:val="a7"/>
                <w:noProof/>
              </w:rPr>
              <w:t>PPP</w:t>
            </w:r>
            <w:r w:rsidRPr="00E5579B">
              <w:rPr>
                <w:rStyle w:val="a7"/>
                <w:rFonts w:hint="eastAsia"/>
                <w:noProof/>
              </w:rPr>
              <w:t>）项目资产证券化业务的通知（上证函〔</w:t>
            </w:r>
            <w:r w:rsidRPr="00E5579B">
              <w:rPr>
                <w:rStyle w:val="a7"/>
                <w:noProof/>
              </w:rPr>
              <w:t>2017</w:t>
            </w:r>
            <w:r w:rsidRPr="00E5579B">
              <w:rPr>
                <w:rStyle w:val="a7"/>
                <w:rFonts w:hint="eastAsia"/>
                <w:noProof/>
              </w:rPr>
              <w:t>〕</w:t>
            </w:r>
            <w:r w:rsidRPr="00E5579B">
              <w:rPr>
                <w:rStyle w:val="a7"/>
                <w:noProof/>
              </w:rPr>
              <w:t>783</w:t>
            </w:r>
            <w:r w:rsidRPr="00E5579B">
              <w:rPr>
                <w:rStyle w:val="a7"/>
                <w:rFonts w:hint="eastAsia"/>
                <w:noProof/>
              </w:rPr>
              <w:t>号）</w:t>
            </w:r>
            <w:r>
              <w:rPr>
                <w:noProof/>
                <w:webHidden/>
              </w:rPr>
              <w:tab/>
            </w:r>
            <w:r>
              <w:rPr>
                <w:noProof/>
                <w:webHidden/>
              </w:rPr>
              <w:fldChar w:fldCharType="begin"/>
            </w:r>
            <w:r>
              <w:rPr>
                <w:noProof/>
                <w:webHidden/>
              </w:rPr>
              <w:instrText xml:space="preserve"> PAGEREF _Toc12864232 \h </w:instrText>
            </w:r>
            <w:r>
              <w:rPr>
                <w:noProof/>
                <w:webHidden/>
              </w:rPr>
            </w:r>
            <w:r>
              <w:rPr>
                <w:noProof/>
                <w:webHidden/>
              </w:rPr>
              <w:fldChar w:fldCharType="separate"/>
            </w:r>
            <w:r w:rsidR="000958AB">
              <w:rPr>
                <w:noProof/>
                <w:webHidden/>
              </w:rPr>
              <w:t>455</w:t>
            </w:r>
            <w:r>
              <w:rPr>
                <w:noProof/>
                <w:webHidden/>
              </w:rPr>
              <w:fldChar w:fldCharType="end"/>
            </w:r>
          </w:hyperlink>
        </w:p>
        <w:p w:rsidR="002746BC" w:rsidRDefault="002746BC">
          <w:pPr>
            <w:pStyle w:val="30"/>
            <w:rPr>
              <w:noProof/>
            </w:rPr>
          </w:pPr>
          <w:hyperlink w:anchor="_Toc12864233" w:history="1">
            <w:r w:rsidRPr="00E5579B">
              <w:rPr>
                <w:rStyle w:val="a7"/>
                <w:rFonts w:hint="eastAsia"/>
                <w:noProof/>
              </w:rPr>
              <w:t>上海证券交易所关于推进传统基础设施领域政府和社会资本合作（</w:t>
            </w:r>
            <w:r w:rsidRPr="00E5579B">
              <w:rPr>
                <w:rStyle w:val="a7"/>
                <w:noProof/>
              </w:rPr>
              <w:t>PPP</w:t>
            </w:r>
            <w:r w:rsidRPr="00E5579B">
              <w:rPr>
                <w:rStyle w:val="a7"/>
                <w:rFonts w:hint="eastAsia"/>
                <w:noProof/>
              </w:rPr>
              <w:t>）项目资产证券化业务的通知（</w:t>
            </w:r>
            <w:r w:rsidRPr="00E5579B">
              <w:rPr>
                <w:rStyle w:val="a7"/>
                <w:noProof/>
              </w:rPr>
              <w:t>2017</w:t>
            </w:r>
            <w:r w:rsidRPr="00E5579B">
              <w:rPr>
                <w:rStyle w:val="a7"/>
                <w:rFonts w:hint="eastAsia"/>
                <w:noProof/>
              </w:rPr>
              <w:t>年</w:t>
            </w:r>
            <w:r w:rsidRPr="00E5579B">
              <w:rPr>
                <w:rStyle w:val="a7"/>
                <w:noProof/>
              </w:rPr>
              <w:t>2</w:t>
            </w:r>
            <w:r w:rsidRPr="00E5579B">
              <w:rPr>
                <w:rStyle w:val="a7"/>
                <w:rFonts w:hint="eastAsia"/>
                <w:noProof/>
              </w:rPr>
              <w:t>月</w:t>
            </w:r>
            <w:r w:rsidRPr="00E5579B">
              <w:rPr>
                <w:rStyle w:val="a7"/>
                <w:noProof/>
              </w:rPr>
              <w:t>17</w:t>
            </w:r>
            <w:r w:rsidRPr="00E5579B">
              <w:rPr>
                <w:rStyle w:val="a7"/>
                <w:rFonts w:hint="eastAsia"/>
                <w:noProof/>
              </w:rPr>
              <w:t>日）</w:t>
            </w:r>
            <w:r>
              <w:rPr>
                <w:noProof/>
                <w:webHidden/>
              </w:rPr>
              <w:tab/>
            </w:r>
            <w:r>
              <w:rPr>
                <w:noProof/>
                <w:webHidden/>
              </w:rPr>
              <w:fldChar w:fldCharType="begin"/>
            </w:r>
            <w:r>
              <w:rPr>
                <w:noProof/>
                <w:webHidden/>
              </w:rPr>
              <w:instrText xml:space="preserve"> PAGEREF _Toc12864233 \h </w:instrText>
            </w:r>
            <w:r>
              <w:rPr>
                <w:noProof/>
                <w:webHidden/>
              </w:rPr>
            </w:r>
            <w:r>
              <w:rPr>
                <w:noProof/>
                <w:webHidden/>
              </w:rPr>
              <w:fldChar w:fldCharType="separate"/>
            </w:r>
            <w:r w:rsidR="000958AB">
              <w:rPr>
                <w:noProof/>
                <w:webHidden/>
              </w:rPr>
              <w:t>457</w:t>
            </w:r>
            <w:r>
              <w:rPr>
                <w:noProof/>
                <w:webHidden/>
              </w:rPr>
              <w:fldChar w:fldCharType="end"/>
            </w:r>
          </w:hyperlink>
        </w:p>
        <w:p w:rsidR="002746BC" w:rsidRDefault="002746BC">
          <w:pPr>
            <w:pStyle w:val="30"/>
            <w:rPr>
              <w:noProof/>
            </w:rPr>
          </w:pPr>
          <w:hyperlink w:anchor="_Toc12864234" w:history="1">
            <w:r w:rsidRPr="00E5579B">
              <w:rPr>
                <w:rStyle w:val="a7"/>
                <w:rFonts w:hint="eastAsia"/>
                <w:noProof/>
              </w:rPr>
              <w:t>深圳证券交易所关于推进传统基础设施领域政府和社会资本合作（</w:t>
            </w:r>
            <w:r w:rsidRPr="00E5579B">
              <w:rPr>
                <w:rStyle w:val="a7"/>
                <w:noProof/>
              </w:rPr>
              <w:t>PPP</w:t>
            </w:r>
            <w:r w:rsidRPr="00E5579B">
              <w:rPr>
                <w:rStyle w:val="a7"/>
                <w:rFonts w:hint="eastAsia"/>
                <w:noProof/>
              </w:rPr>
              <w:t>）项目资产证券化业务的通知（深证会〔</w:t>
            </w:r>
            <w:r w:rsidRPr="00E5579B">
              <w:rPr>
                <w:rStyle w:val="a7"/>
                <w:noProof/>
              </w:rPr>
              <w:t>2017</w:t>
            </w:r>
            <w:r w:rsidRPr="00E5579B">
              <w:rPr>
                <w:rStyle w:val="a7"/>
                <w:rFonts w:hint="eastAsia"/>
                <w:noProof/>
              </w:rPr>
              <w:t>〕</w:t>
            </w:r>
            <w:r w:rsidRPr="00E5579B">
              <w:rPr>
                <w:rStyle w:val="a7"/>
                <w:noProof/>
              </w:rPr>
              <w:t>46</w:t>
            </w:r>
            <w:r w:rsidRPr="00E5579B">
              <w:rPr>
                <w:rStyle w:val="a7"/>
                <w:rFonts w:hint="eastAsia"/>
                <w:noProof/>
              </w:rPr>
              <w:t>号）</w:t>
            </w:r>
            <w:r>
              <w:rPr>
                <w:noProof/>
                <w:webHidden/>
              </w:rPr>
              <w:tab/>
            </w:r>
            <w:r>
              <w:rPr>
                <w:noProof/>
                <w:webHidden/>
              </w:rPr>
              <w:fldChar w:fldCharType="begin"/>
            </w:r>
            <w:r>
              <w:rPr>
                <w:noProof/>
                <w:webHidden/>
              </w:rPr>
              <w:instrText xml:space="preserve"> PAGEREF _Toc12864234 \h </w:instrText>
            </w:r>
            <w:r>
              <w:rPr>
                <w:noProof/>
                <w:webHidden/>
              </w:rPr>
            </w:r>
            <w:r>
              <w:rPr>
                <w:noProof/>
                <w:webHidden/>
              </w:rPr>
              <w:fldChar w:fldCharType="separate"/>
            </w:r>
            <w:r w:rsidR="000958AB">
              <w:rPr>
                <w:noProof/>
                <w:webHidden/>
              </w:rPr>
              <w:t>459</w:t>
            </w:r>
            <w:r>
              <w:rPr>
                <w:noProof/>
                <w:webHidden/>
              </w:rPr>
              <w:fldChar w:fldCharType="end"/>
            </w:r>
          </w:hyperlink>
        </w:p>
        <w:p w:rsidR="002746BC" w:rsidRDefault="002746BC">
          <w:pPr>
            <w:pStyle w:val="20"/>
            <w:tabs>
              <w:tab w:val="right" w:leader="dot" w:pos="8296"/>
            </w:tabs>
            <w:rPr>
              <w:noProof/>
            </w:rPr>
          </w:pPr>
          <w:hyperlink w:anchor="_Toc12864235" w:history="1">
            <w:r w:rsidRPr="00E5579B">
              <w:rPr>
                <w:rStyle w:val="a7"/>
                <w:noProof/>
              </w:rPr>
              <w:t>6</w:t>
            </w:r>
            <w:r w:rsidRPr="00E5579B">
              <w:rPr>
                <w:rStyle w:val="a7"/>
                <w:rFonts w:hint="eastAsia"/>
                <w:noProof/>
              </w:rPr>
              <w:t>、其他机构文件</w:t>
            </w:r>
            <w:r>
              <w:rPr>
                <w:noProof/>
                <w:webHidden/>
              </w:rPr>
              <w:tab/>
            </w:r>
            <w:r>
              <w:rPr>
                <w:noProof/>
                <w:webHidden/>
              </w:rPr>
              <w:fldChar w:fldCharType="begin"/>
            </w:r>
            <w:r>
              <w:rPr>
                <w:noProof/>
                <w:webHidden/>
              </w:rPr>
              <w:instrText xml:space="preserve"> PAGEREF _Toc12864235 \h </w:instrText>
            </w:r>
            <w:r>
              <w:rPr>
                <w:noProof/>
                <w:webHidden/>
              </w:rPr>
            </w:r>
            <w:r>
              <w:rPr>
                <w:noProof/>
                <w:webHidden/>
              </w:rPr>
              <w:fldChar w:fldCharType="separate"/>
            </w:r>
            <w:r w:rsidR="000958AB">
              <w:rPr>
                <w:noProof/>
                <w:webHidden/>
              </w:rPr>
              <w:t>461</w:t>
            </w:r>
            <w:r>
              <w:rPr>
                <w:noProof/>
                <w:webHidden/>
              </w:rPr>
              <w:fldChar w:fldCharType="end"/>
            </w:r>
          </w:hyperlink>
        </w:p>
        <w:p w:rsidR="002746BC" w:rsidRDefault="002746BC">
          <w:pPr>
            <w:pStyle w:val="30"/>
            <w:rPr>
              <w:noProof/>
            </w:rPr>
          </w:pPr>
          <w:hyperlink w:anchor="_Toc12864236" w:history="1">
            <w:r w:rsidRPr="00E5579B">
              <w:rPr>
                <w:rStyle w:val="a7"/>
                <w:rFonts w:hint="eastAsia"/>
                <w:noProof/>
              </w:rPr>
              <w:t>机构间私募产品报价与服务系统关于进一步推进政府和社会资本合作（</w:t>
            </w:r>
            <w:r w:rsidRPr="00E5579B">
              <w:rPr>
                <w:rStyle w:val="a7"/>
                <w:noProof/>
              </w:rPr>
              <w:t>PPP</w:t>
            </w:r>
            <w:r w:rsidRPr="00E5579B">
              <w:rPr>
                <w:rStyle w:val="a7"/>
                <w:rFonts w:hint="eastAsia"/>
                <w:noProof/>
              </w:rPr>
              <w:t>）项目资产证券化业务的通知</w:t>
            </w:r>
            <w:r>
              <w:rPr>
                <w:noProof/>
                <w:webHidden/>
              </w:rPr>
              <w:tab/>
            </w:r>
            <w:r>
              <w:rPr>
                <w:noProof/>
                <w:webHidden/>
              </w:rPr>
              <w:fldChar w:fldCharType="begin"/>
            </w:r>
            <w:r>
              <w:rPr>
                <w:noProof/>
                <w:webHidden/>
              </w:rPr>
              <w:instrText xml:space="preserve"> PAGEREF _Toc12864236 \h </w:instrText>
            </w:r>
            <w:r>
              <w:rPr>
                <w:noProof/>
                <w:webHidden/>
              </w:rPr>
            </w:r>
            <w:r>
              <w:rPr>
                <w:noProof/>
                <w:webHidden/>
              </w:rPr>
              <w:fldChar w:fldCharType="separate"/>
            </w:r>
            <w:r w:rsidR="000958AB">
              <w:rPr>
                <w:noProof/>
                <w:webHidden/>
              </w:rPr>
              <w:t>462</w:t>
            </w:r>
            <w:r>
              <w:rPr>
                <w:noProof/>
                <w:webHidden/>
              </w:rPr>
              <w:fldChar w:fldCharType="end"/>
            </w:r>
          </w:hyperlink>
        </w:p>
        <w:p w:rsidR="002746BC" w:rsidRDefault="002746BC">
          <w:pPr>
            <w:pStyle w:val="30"/>
            <w:rPr>
              <w:noProof/>
            </w:rPr>
          </w:pPr>
          <w:hyperlink w:anchor="_Toc12864237" w:history="1">
            <w:r w:rsidRPr="00E5579B">
              <w:rPr>
                <w:rStyle w:val="a7"/>
                <w:rFonts w:hint="eastAsia"/>
                <w:noProof/>
              </w:rPr>
              <w:t>关于</w:t>
            </w:r>
            <w:r w:rsidRPr="00E5579B">
              <w:rPr>
                <w:rStyle w:val="a7"/>
                <w:noProof/>
              </w:rPr>
              <w:t>PPP</w:t>
            </w:r>
            <w:r w:rsidRPr="00E5579B">
              <w:rPr>
                <w:rStyle w:val="a7"/>
                <w:rFonts w:hint="eastAsia"/>
                <w:noProof/>
              </w:rPr>
              <w:t>项目资产证券化产品实施专人专岗备案的通知（中基协</w:t>
            </w:r>
            <w:r w:rsidRPr="00E5579B">
              <w:rPr>
                <w:rStyle w:val="a7"/>
                <w:noProof/>
              </w:rPr>
              <w:t>2017</w:t>
            </w:r>
            <w:r w:rsidRPr="00E5579B">
              <w:rPr>
                <w:rStyle w:val="a7"/>
                <w:rFonts w:hint="eastAsia"/>
                <w:noProof/>
              </w:rPr>
              <w:t>年</w:t>
            </w:r>
            <w:r w:rsidRPr="00E5579B">
              <w:rPr>
                <w:rStyle w:val="a7"/>
                <w:noProof/>
              </w:rPr>
              <w:t>2</w:t>
            </w:r>
            <w:r w:rsidRPr="00E5579B">
              <w:rPr>
                <w:rStyle w:val="a7"/>
                <w:rFonts w:hint="eastAsia"/>
                <w:noProof/>
              </w:rPr>
              <w:t>月</w:t>
            </w:r>
            <w:r w:rsidRPr="00E5579B">
              <w:rPr>
                <w:rStyle w:val="a7"/>
                <w:noProof/>
              </w:rPr>
              <w:t>17</w:t>
            </w:r>
            <w:r w:rsidRPr="00E5579B">
              <w:rPr>
                <w:rStyle w:val="a7"/>
                <w:rFonts w:hint="eastAsia"/>
                <w:noProof/>
              </w:rPr>
              <w:t>日）</w:t>
            </w:r>
            <w:r>
              <w:rPr>
                <w:noProof/>
                <w:webHidden/>
              </w:rPr>
              <w:tab/>
            </w:r>
            <w:r>
              <w:rPr>
                <w:noProof/>
                <w:webHidden/>
              </w:rPr>
              <w:fldChar w:fldCharType="begin"/>
            </w:r>
            <w:r>
              <w:rPr>
                <w:noProof/>
                <w:webHidden/>
              </w:rPr>
              <w:instrText xml:space="preserve"> PAGEREF _Toc12864237 \h </w:instrText>
            </w:r>
            <w:r>
              <w:rPr>
                <w:noProof/>
                <w:webHidden/>
              </w:rPr>
            </w:r>
            <w:r>
              <w:rPr>
                <w:noProof/>
                <w:webHidden/>
              </w:rPr>
              <w:fldChar w:fldCharType="separate"/>
            </w:r>
            <w:r w:rsidR="000958AB">
              <w:rPr>
                <w:noProof/>
                <w:webHidden/>
              </w:rPr>
              <w:t>464</w:t>
            </w:r>
            <w:r>
              <w:rPr>
                <w:noProof/>
                <w:webHidden/>
              </w:rPr>
              <w:fldChar w:fldCharType="end"/>
            </w:r>
          </w:hyperlink>
        </w:p>
        <w:p w:rsidR="002746BC" w:rsidRDefault="002746BC">
          <w:pPr>
            <w:pStyle w:val="30"/>
            <w:rPr>
              <w:noProof/>
            </w:rPr>
          </w:pPr>
          <w:hyperlink w:anchor="_Toc12864238" w:history="1">
            <w:r w:rsidRPr="00E5579B">
              <w:rPr>
                <w:rStyle w:val="a7"/>
                <w:rFonts w:hint="eastAsia"/>
                <w:noProof/>
              </w:rPr>
              <w:t>关于发布《资产支持专项计划备案管理办法》及配套规则的通知（中基协函〔</w:t>
            </w:r>
            <w:r w:rsidRPr="00E5579B">
              <w:rPr>
                <w:rStyle w:val="a7"/>
                <w:noProof/>
              </w:rPr>
              <w:t>2014</w:t>
            </w:r>
            <w:r w:rsidRPr="00E5579B">
              <w:rPr>
                <w:rStyle w:val="a7"/>
                <w:rFonts w:hint="eastAsia"/>
                <w:noProof/>
              </w:rPr>
              <w:t>〕</w:t>
            </w:r>
            <w:r w:rsidRPr="00E5579B">
              <w:rPr>
                <w:rStyle w:val="a7"/>
                <w:noProof/>
              </w:rPr>
              <w:t>459</w:t>
            </w:r>
            <w:r w:rsidRPr="00E5579B">
              <w:rPr>
                <w:rStyle w:val="a7"/>
                <w:rFonts w:hint="eastAsia"/>
                <w:noProof/>
              </w:rPr>
              <w:t>号）</w:t>
            </w:r>
            <w:r>
              <w:rPr>
                <w:noProof/>
                <w:webHidden/>
              </w:rPr>
              <w:tab/>
            </w:r>
            <w:r>
              <w:rPr>
                <w:noProof/>
                <w:webHidden/>
              </w:rPr>
              <w:fldChar w:fldCharType="begin"/>
            </w:r>
            <w:r>
              <w:rPr>
                <w:noProof/>
                <w:webHidden/>
              </w:rPr>
              <w:instrText xml:space="preserve"> PAGEREF _Toc12864238 \h </w:instrText>
            </w:r>
            <w:r>
              <w:rPr>
                <w:noProof/>
                <w:webHidden/>
              </w:rPr>
            </w:r>
            <w:r>
              <w:rPr>
                <w:noProof/>
                <w:webHidden/>
              </w:rPr>
              <w:fldChar w:fldCharType="separate"/>
            </w:r>
            <w:r w:rsidR="000958AB">
              <w:rPr>
                <w:noProof/>
                <w:webHidden/>
              </w:rPr>
              <w:t>466</w:t>
            </w:r>
            <w:r>
              <w:rPr>
                <w:noProof/>
                <w:webHidden/>
              </w:rPr>
              <w:fldChar w:fldCharType="end"/>
            </w:r>
          </w:hyperlink>
        </w:p>
        <w:p w:rsidR="002746BC" w:rsidRDefault="002746BC">
          <w:pPr>
            <w:pStyle w:val="20"/>
            <w:tabs>
              <w:tab w:val="right" w:leader="dot" w:pos="8296"/>
            </w:tabs>
            <w:rPr>
              <w:noProof/>
            </w:rPr>
          </w:pPr>
          <w:hyperlink w:anchor="_Toc12864239" w:history="1">
            <w:r w:rsidRPr="00E5579B">
              <w:rPr>
                <w:rStyle w:val="a7"/>
                <w:rFonts w:hint="eastAsia"/>
                <w:noProof/>
              </w:rPr>
              <w:t>（三）土地</w:t>
            </w:r>
            <w:r>
              <w:rPr>
                <w:noProof/>
                <w:webHidden/>
              </w:rPr>
              <w:tab/>
            </w:r>
            <w:r>
              <w:rPr>
                <w:noProof/>
                <w:webHidden/>
              </w:rPr>
              <w:fldChar w:fldCharType="begin"/>
            </w:r>
            <w:r>
              <w:rPr>
                <w:noProof/>
                <w:webHidden/>
              </w:rPr>
              <w:instrText xml:space="preserve"> PAGEREF _Toc12864239 \h </w:instrText>
            </w:r>
            <w:r>
              <w:rPr>
                <w:noProof/>
                <w:webHidden/>
              </w:rPr>
            </w:r>
            <w:r>
              <w:rPr>
                <w:noProof/>
                <w:webHidden/>
              </w:rPr>
              <w:fldChar w:fldCharType="separate"/>
            </w:r>
            <w:r w:rsidR="000958AB">
              <w:rPr>
                <w:noProof/>
                <w:webHidden/>
              </w:rPr>
              <w:t>468</w:t>
            </w:r>
            <w:r>
              <w:rPr>
                <w:noProof/>
                <w:webHidden/>
              </w:rPr>
              <w:fldChar w:fldCharType="end"/>
            </w:r>
          </w:hyperlink>
        </w:p>
        <w:p w:rsidR="002746BC" w:rsidRDefault="002746BC">
          <w:pPr>
            <w:pStyle w:val="20"/>
            <w:tabs>
              <w:tab w:val="right" w:leader="dot" w:pos="8296"/>
            </w:tabs>
            <w:rPr>
              <w:noProof/>
            </w:rPr>
          </w:pPr>
          <w:hyperlink w:anchor="_Toc12864240" w:history="1">
            <w:r w:rsidRPr="00E5579B">
              <w:rPr>
                <w:rStyle w:val="a7"/>
                <w:noProof/>
              </w:rPr>
              <w:t>1</w:t>
            </w:r>
            <w:r w:rsidRPr="00E5579B">
              <w:rPr>
                <w:rStyle w:val="a7"/>
                <w:rFonts w:hint="eastAsia"/>
                <w:noProof/>
              </w:rPr>
              <w:t>、土地综合利用</w:t>
            </w:r>
            <w:r>
              <w:rPr>
                <w:noProof/>
                <w:webHidden/>
              </w:rPr>
              <w:tab/>
            </w:r>
            <w:r>
              <w:rPr>
                <w:noProof/>
                <w:webHidden/>
              </w:rPr>
              <w:fldChar w:fldCharType="begin"/>
            </w:r>
            <w:r>
              <w:rPr>
                <w:noProof/>
                <w:webHidden/>
              </w:rPr>
              <w:instrText xml:space="preserve"> PAGEREF _Toc12864240 \h </w:instrText>
            </w:r>
            <w:r>
              <w:rPr>
                <w:noProof/>
                <w:webHidden/>
              </w:rPr>
            </w:r>
            <w:r>
              <w:rPr>
                <w:noProof/>
                <w:webHidden/>
              </w:rPr>
              <w:fldChar w:fldCharType="separate"/>
            </w:r>
            <w:r w:rsidR="000958AB">
              <w:rPr>
                <w:noProof/>
                <w:webHidden/>
              </w:rPr>
              <w:t>468</w:t>
            </w:r>
            <w:r>
              <w:rPr>
                <w:noProof/>
                <w:webHidden/>
              </w:rPr>
              <w:fldChar w:fldCharType="end"/>
            </w:r>
          </w:hyperlink>
        </w:p>
        <w:p w:rsidR="002746BC" w:rsidRDefault="002746BC">
          <w:pPr>
            <w:pStyle w:val="30"/>
            <w:rPr>
              <w:noProof/>
            </w:rPr>
          </w:pPr>
          <w:hyperlink w:anchor="_Toc12864241" w:history="1">
            <w:r w:rsidRPr="00E5579B">
              <w:rPr>
                <w:rStyle w:val="a7"/>
                <w:rFonts w:hint="eastAsia"/>
                <w:noProof/>
              </w:rPr>
              <w:t>自然资源部办公厅关于印发《产业用地政策实施工作指引（</w:t>
            </w:r>
            <w:r w:rsidRPr="00E5579B">
              <w:rPr>
                <w:rStyle w:val="a7"/>
                <w:noProof/>
              </w:rPr>
              <w:t>2019</w:t>
            </w:r>
            <w:r w:rsidRPr="00E5579B">
              <w:rPr>
                <w:rStyle w:val="a7"/>
                <w:rFonts w:hint="eastAsia"/>
                <w:noProof/>
              </w:rPr>
              <w:t>年版）》的通知（自然资办发〔</w:t>
            </w:r>
            <w:r w:rsidRPr="00E5579B">
              <w:rPr>
                <w:rStyle w:val="a7"/>
                <w:noProof/>
              </w:rPr>
              <w:t>2019</w:t>
            </w:r>
            <w:r w:rsidRPr="00E5579B">
              <w:rPr>
                <w:rStyle w:val="a7"/>
                <w:rFonts w:hint="eastAsia"/>
                <w:noProof/>
              </w:rPr>
              <w:t>〕</w:t>
            </w:r>
            <w:r w:rsidRPr="00E5579B">
              <w:rPr>
                <w:rStyle w:val="a7"/>
                <w:noProof/>
              </w:rPr>
              <w:t>31</w:t>
            </w:r>
            <w:r w:rsidRPr="00E5579B">
              <w:rPr>
                <w:rStyle w:val="a7"/>
                <w:rFonts w:hint="eastAsia"/>
                <w:noProof/>
              </w:rPr>
              <w:t>号）</w:t>
            </w:r>
            <w:r>
              <w:rPr>
                <w:noProof/>
                <w:webHidden/>
              </w:rPr>
              <w:tab/>
            </w:r>
            <w:r>
              <w:rPr>
                <w:noProof/>
                <w:webHidden/>
              </w:rPr>
              <w:fldChar w:fldCharType="begin"/>
            </w:r>
            <w:r>
              <w:rPr>
                <w:noProof/>
                <w:webHidden/>
              </w:rPr>
              <w:instrText xml:space="preserve"> PAGEREF _Toc12864241 \h </w:instrText>
            </w:r>
            <w:r>
              <w:rPr>
                <w:noProof/>
                <w:webHidden/>
              </w:rPr>
            </w:r>
            <w:r>
              <w:rPr>
                <w:noProof/>
                <w:webHidden/>
              </w:rPr>
              <w:fldChar w:fldCharType="separate"/>
            </w:r>
            <w:r w:rsidR="000958AB">
              <w:rPr>
                <w:noProof/>
                <w:webHidden/>
              </w:rPr>
              <w:t>469</w:t>
            </w:r>
            <w:r>
              <w:rPr>
                <w:noProof/>
                <w:webHidden/>
              </w:rPr>
              <w:fldChar w:fldCharType="end"/>
            </w:r>
          </w:hyperlink>
        </w:p>
        <w:p w:rsidR="002746BC" w:rsidRDefault="002746BC">
          <w:pPr>
            <w:pStyle w:val="30"/>
            <w:rPr>
              <w:noProof/>
            </w:rPr>
          </w:pPr>
          <w:hyperlink w:anchor="_Toc12864242" w:history="1">
            <w:r w:rsidRPr="00E5579B">
              <w:rPr>
                <w:rStyle w:val="a7"/>
                <w:rFonts w:hint="eastAsia"/>
                <w:noProof/>
              </w:rPr>
              <w:t>自然资源部办公厅关于进一步规范储备土地抵押融资加快批而未供土地处置有关问题的通知（自然资办发〔</w:t>
            </w:r>
            <w:r w:rsidRPr="00E5579B">
              <w:rPr>
                <w:rStyle w:val="a7"/>
                <w:noProof/>
              </w:rPr>
              <w:t>2019</w:t>
            </w:r>
            <w:r w:rsidRPr="00E5579B">
              <w:rPr>
                <w:rStyle w:val="a7"/>
                <w:rFonts w:hint="eastAsia"/>
                <w:noProof/>
              </w:rPr>
              <w:t>〕</w:t>
            </w:r>
            <w:r w:rsidRPr="00E5579B">
              <w:rPr>
                <w:rStyle w:val="a7"/>
                <w:noProof/>
              </w:rPr>
              <w:t xml:space="preserve">3 </w:t>
            </w:r>
            <w:r w:rsidRPr="00E5579B">
              <w:rPr>
                <w:rStyle w:val="a7"/>
                <w:rFonts w:hint="eastAsia"/>
                <w:noProof/>
              </w:rPr>
              <w:t>号）</w:t>
            </w:r>
            <w:r>
              <w:rPr>
                <w:noProof/>
                <w:webHidden/>
              </w:rPr>
              <w:tab/>
            </w:r>
            <w:r>
              <w:rPr>
                <w:noProof/>
                <w:webHidden/>
              </w:rPr>
              <w:fldChar w:fldCharType="begin"/>
            </w:r>
            <w:r>
              <w:rPr>
                <w:noProof/>
                <w:webHidden/>
              </w:rPr>
              <w:instrText xml:space="preserve"> PAGEREF _Toc12864242 \h </w:instrText>
            </w:r>
            <w:r>
              <w:rPr>
                <w:noProof/>
                <w:webHidden/>
              </w:rPr>
            </w:r>
            <w:r>
              <w:rPr>
                <w:noProof/>
                <w:webHidden/>
              </w:rPr>
              <w:fldChar w:fldCharType="separate"/>
            </w:r>
            <w:r w:rsidR="000958AB">
              <w:rPr>
                <w:noProof/>
                <w:webHidden/>
              </w:rPr>
              <w:t>492</w:t>
            </w:r>
            <w:r>
              <w:rPr>
                <w:noProof/>
                <w:webHidden/>
              </w:rPr>
              <w:fldChar w:fldCharType="end"/>
            </w:r>
          </w:hyperlink>
        </w:p>
        <w:p w:rsidR="002746BC" w:rsidRDefault="002746BC">
          <w:pPr>
            <w:pStyle w:val="30"/>
            <w:rPr>
              <w:noProof/>
            </w:rPr>
          </w:pPr>
          <w:hyperlink w:anchor="_Toc12864243" w:history="1">
            <w:r w:rsidRPr="00E5579B">
              <w:rPr>
                <w:rStyle w:val="a7"/>
                <w:rFonts w:hint="eastAsia"/>
                <w:noProof/>
              </w:rPr>
              <w:t>自然资源部办公厅关于批而未供土地处置有关问题的通知（自然资办发〔</w:t>
            </w:r>
            <w:r w:rsidRPr="00E5579B">
              <w:rPr>
                <w:rStyle w:val="a7"/>
                <w:noProof/>
              </w:rPr>
              <w:t>2018</w:t>
            </w:r>
            <w:r w:rsidRPr="00E5579B">
              <w:rPr>
                <w:rStyle w:val="a7"/>
                <w:rFonts w:hint="eastAsia"/>
                <w:noProof/>
              </w:rPr>
              <w:t>〕</w:t>
            </w:r>
            <w:r w:rsidRPr="00E5579B">
              <w:rPr>
                <w:rStyle w:val="a7"/>
                <w:noProof/>
              </w:rPr>
              <w:t>49</w:t>
            </w:r>
            <w:r w:rsidRPr="00E5579B">
              <w:rPr>
                <w:rStyle w:val="a7"/>
                <w:rFonts w:hint="eastAsia"/>
                <w:noProof/>
              </w:rPr>
              <w:lastRenderedPageBreak/>
              <w:t>号）</w:t>
            </w:r>
            <w:r>
              <w:rPr>
                <w:noProof/>
                <w:webHidden/>
              </w:rPr>
              <w:tab/>
            </w:r>
            <w:r>
              <w:rPr>
                <w:noProof/>
                <w:webHidden/>
              </w:rPr>
              <w:fldChar w:fldCharType="begin"/>
            </w:r>
            <w:r>
              <w:rPr>
                <w:noProof/>
                <w:webHidden/>
              </w:rPr>
              <w:instrText xml:space="preserve"> PAGEREF _Toc12864243 \h </w:instrText>
            </w:r>
            <w:r>
              <w:rPr>
                <w:noProof/>
                <w:webHidden/>
              </w:rPr>
            </w:r>
            <w:r>
              <w:rPr>
                <w:noProof/>
                <w:webHidden/>
              </w:rPr>
              <w:fldChar w:fldCharType="separate"/>
            </w:r>
            <w:r w:rsidR="000958AB">
              <w:rPr>
                <w:noProof/>
                <w:webHidden/>
              </w:rPr>
              <w:t>495</w:t>
            </w:r>
            <w:r>
              <w:rPr>
                <w:noProof/>
                <w:webHidden/>
              </w:rPr>
              <w:fldChar w:fldCharType="end"/>
            </w:r>
          </w:hyperlink>
        </w:p>
        <w:p w:rsidR="002746BC" w:rsidRDefault="002746BC">
          <w:pPr>
            <w:pStyle w:val="30"/>
            <w:rPr>
              <w:noProof/>
            </w:rPr>
          </w:pPr>
          <w:hyperlink w:anchor="_Toc12864244" w:history="1">
            <w:r w:rsidRPr="00E5579B">
              <w:rPr>
                <w:rStyle w:val="a7"/>
                <w:rFonts w:hint="eastAsia"/>
                <w:noProof/>
              </w:rPr>
              <w:t>土地储备管理办法（国土资规〔</w:t>
            </w:r>
            <w:r w:rsidRPr="00E5579B">
              <w:rPr>
                <w:rStyle w:val="a7"/>
                <w:noProof/>
              </w:rPr>
              <w:t>2017</w:t>
            </w:r>
            <w:r w:rsidRPr="00E5579B">
              <w:rPr>
                <w:rStyle w:val="a7"/>
                <w:rFonts w:hint="eastAsia"/>
                <w:noProof/>
              </w:rPr>
              <w:t>〕</w:t>
            </w:r>
            <w:r w:rsidRPr="00E5579B">
              <w:rPr>
                <w:rStyle w:val="a7"/>
                <w:noProof/>
              </w:rPr>
              <w:t>17</w:t>
            </w:r>
            <w:r w:rsidRPr="00E5579B">
              <w:rPr>
                <w:rStyle w:val="a7"/>
                <w:rFonts w:hint="eastAsia"/>
                <w:noProof/>
              </w:rPr>
              <w:t>号）</w:t>
            </w:r>
            <w:r>
              <w:rPr>
                <w:noProof/>
                <w:webHidden/>
              </w:rPr>
              <w:tab/>
            </w:r>
            <w:r>
              <w:rPr>
                <w:noProof/>
                <w:webHidden/>
              </w:rPr>
              <w:fldChar w:fldCharType="begin"/>
            </w:r>
            <w:r>
              <w:rPr>
                <w:noProof/>
                <w:webHidden/>
              </w:rPr>
              <w:instrText xml:space="preserve"> PAGEREF _Toc12864244 \h </w:instrText>
            </w:r>
            <w:r>
              <w:rPr>
                <w:noProof/>
                <w:webHidden/>
              </w:rPr>
            </w:r>
            <w:r>
              <w:rPr>
                <w:noProof/>
                <w:webHidden/>
              </w:rPr>
              <w:fldChar w:fldCharType="separate"/>
            </w:r>
            <w:r w:rsidR="000958AB">
              <w:rPr>
                <w:noProof/>
                <w:webHidden/>
              </w:rPr>
              <w:t>497</w:t>
            </w:r>
            <w:r>
              <w:rPr>
                <w:noProof/>
                <w:webHidden/>
              </w:rPr>
              <w:fldChar w:fldCharType="end"/>
            </w:r>
          </w:hyperlink>
        </w:p>
        <w:p w:rsidR="002746BC" w:rsidRDefault="002746BC">
          <w:pPr>
            <w:pStyle w:val="30"/>
            <w:rPr>
              <w:noProof/>
            </w:rPr>
          </w:pPr>
          <w:hyperlink w:anchor="_Toc12864245" w:history="1">
            <w:r w:rsidRPr="00E5579B">
              <w:rPr>
                <w:rStyle w:val="a7"/>
                <w:rFonts w:hint="eastAsia"/>
                <w:noProof/>
              </w:rPr>
              <w:t>财政部</w:t>
            </w:r>
            <w:r w:rsidRPr="00E5579B">
              <w:rPr>
                <w:rStyle w:val="a7"/>
                <w:noProof/>
              </w:rPr>
              <w:t xml:space="preserve"> </w:t>
            </w:r>
            <w:r w:rsidRPr="00E5579B">
              <w:rPr>
                <w:rStyle w:val="a7"/>
                <w:rFonts w:hint="eastAsia"/>
                <w:noProof/>
              </w:rPr>
              <w:t>国土资源部关于印发《地方政府土地储备专项债券管理办法（试行）》的通知（财预〔</w:t>
            </w:r>
            <w:r w:rsidRPr="00E5579B">
              <w:rPr>
                <w:rStyle w:val="a7"/>
                <w:noProof/>
              </w:rPr>
              <w:t>2017</w:t>
            </w:r>
            <w:r w:rsidRPr="00E5579B">
              <w:rPr>
                <w:rStyle w:val="a7"/>
                <w:rFonts w:hint="eastAsia"/>
                <w:noProof/>
              </w:rPr>
              <w:t>〕</w:t>
            </w:r>
            <w:r w:rsidRPr="00E5579B">
              <w:rPr>
                <w:rStyle w:val="a7"/>
                <w:noProof/>
              </w:rPr>
              <w:t>62</w:t>
            </w:r>
            <w:r w:rsidRPr="00E5579B">
              <w:rPr>
                <w:rStyle w:val="a7"/>
                <w:rFonts w:hint="eastAsia"/>
                <w:noProof/>
              </w:rPr>
              <w:t>号）</w:t>
            </w:r>
            <w:r>
              <w:rPr>
                <w:noProof/>
                <w:webHidden/>
              </w:rPr>
              <w:tab/>
            </w:r>
            <w:r>
              <w:rPr>
                <w:noProof/>
                <w:webHidden/>
              </w:rPr>
              <w:fldChar w:fldCharType="begin"/>
            </w:r>
            <w:r>
              <w:rPr>
                <w:noProof/>
                <w:webHidden/>
              </w:rPr>
              <w:instrText xml:space="preserve"> PAGEREF _Toc12864245 \h </w:instrText>
            </w:r>
            <w:r>
              <w:rPr>
                <w:noProof/>
                <w:webHidden/>
              </w:rPr>
            </w:r>
            <w:r>
              <w:rPr>
                <w:noProof/>
                <w:webHidden/>
              </w:rPr>
              <w:fldChar w:fldCharType="separate"/>
            </w:r>
            <w:r w:rsidR="000958AB">
              <w:rPr>
                <w:noProof/>
                <w:webHidden/>
              </w:rPr>
              <w:t>506</w:t>
            </w:r>
            <w:r>
              <w:rPr>
                <w:noProof/>
                <w:webHidden/>
              </w:rPr>
              <w:fldChar w:fldCharType="end"/>
            </w:r>
          </w:hyperlink>
        </w:p>
        <w:p w:rsidR="002746BC" w:rsidRDefault="002746BC">
          <w:pPr>
            <w:pStyle w:val="30"/>
            <w:rPr>
              <w:noProof/>
            </w:rPr>
          </w:pPr>
          <w:hyperlink w:anchor="_Toc12864246" w:history="1">
            <w:r w:rsidRPr="00E5579B">
              <w:rPr>
                <w:rStyle w:val="a7"/>
                <w:rFonts w:hint="eastAsia"/>
                <w:noProof/>
              </w:rPr>
              <w:t>国土资源部关于印发《关于深入推进城镇低效用地再开发的指导意见（试行）》的通知（国土资发〔</w:t>
            </w:r>
            <w:r w:rsidRPr="00E5579B">
              <w:rPr>
                <w:rStyle w:val="a7"/>
                <w:noProof/>
              </w:rPr>
              <w:t>2016</w:t>
            </w:r>
            <w:r w:rsidRPr="00E5579B">
              <w:rPr>
                <w:rStyle w:val="a7"/>
                <w:rFonts w:hint="eastAsia"/>
                <w:noProof/>
              </w:rPr>
              <w:t>〕</w:t>
            </w:r>
            <w:r w:rsidRPr="00E5579B">
              <w:rPr>
                <w:rStyle w:val="a7"/>
                <w:noProof/>
              </w:rPr>
              <w:t>147</w:t>
            </w:r>
            <w:r w:rsidRPr="00E5579B">
              <w:rPr>
                <w:rStyle w:val="a7"/>
                <w:rFonts w:hint="eastAsia"/>
                <w:noProof/>
              </w:rPr>
              <w:t>号）</w:t>
            </w:r>
            <w:r>
              <w:rPr>
                <w:noProof/>
                <w:webHidden/>
              </w:rPr>
              <w:tab/>
            </w:r>
            <w:r>
              <w:rPr>
                <w:noProof/>
                <w:webHidden/>
              </w:rPr>
              <w:fldChar w:fldCharType="begin"/>
            </w:r>
            <w:r>
              <w:rPr>
                <w:noProof/>
                <w:webHidden/>
              </w:rPr>
              <w:instrText xml:space="preserve"> PAGEREF _Toc12864246 \h </w:instrText>
            </w:r>
            <w:r>
              <w:rPr>
                <w:noProof/>
                <w:webHidden/>
              </w:rPr>
            </w:r>
            <w:r>
              <w:rPr>
                <w:noProof/>
                <w:webHidden/>
              </w:rPr>
              <w:fldChar w:fldCharType="separate"/>
            </w:r>
            <w:r w:rsidR="000958AB">
              <w:rPr>
                <w:noProof/>
                <w:webHidden/>
              </w:rPr>
              <w:t>517</w:t>
            </w:r>
            <w:r>
              <w:rPr>
                <w:noProof/>
                <w:webHidden/>
              </w:rPr>
              <w:fldChar w:fldCharType="end"/>
            </w:r>
          </w:hyperlink>
        </w:p>
        <w:p w:rsidR="002746BC" w:rsidRDefault="002746BC">
          <w:pPr>
            <w:pStyle w:val="30"/>
            <w:rPr>
              <w:noProof/>
            </w:rPr>
          </w:pPr>
          <w:hyperlink w:anchor="_Toc12864247" w:history="1">
            <w:r w:rsidRPr="00E5579B">
              <w:rPr>
                <w:rStyle w:val="a7"/>
                <w:rFonts w:hint="eastAsia"/>
                <w:noProof/>
              </w:rPr>
              <w:t>国土资源部办公厅关于印发《产业用地政策实施工作指引的通知》（国土资厅发〔</w:t>
            </w:r>
            <w:r w:rsidRPr="00E5579B">
              <w:rPr>
                <w:rStyle w:val="a7"/>
                <w:noProof/>
              </w:rPr>
              <w:t>2016</w:t>
            </w:r>
            <w:r w:rsidRPr="00E5579B">
              <w:rPr>
                <w:rStyle w:val="a7"/>
                <w:rFonts w:hint="eastAsia"/>
                <w:noProof/>
              </w:rPr>
              <w:t>〕</w:t>
            </w:r>
            <w:r w:rsidRPr="00E5579B">
              <w:rPr>
                <w:rStyle w:val="a7"/>
                <w:noProof/>
              </w:rPr>
              <w:t>38</w:t>
            </w:r>
            <w:r w:rsidRPr="00E5579B">
              <w:rPr>
                <w:rStyle w:val="a7"/>
                <w:rFonts w:hint="eastAsia"/>
                <w:noProof/>
              </w:rPr>
              <w:t>号）</w:t>
            </w:r>
            <w:r>
              <w:rPr>
                <w:noProof/>
                <w:webHidden/>
              </w:rPr>
              <w:tab/>
            </w:r>
            <w:r>
              <w:rPr>
                <w:noProof/>
                <w:webHidden/>
              </w:rPr>
              <w:fldChar w:fldCharType="begin"/>
            </w:r>
            <w:r>
              <w:rPr>
                <w:noProof/>
                <w:webHidden/>
              </w:rPr>
              <w:instrText xml:space="preserve"> PAGEREF _Toc12864247 \h </w:instrText>
            </w:r>
            <w:r>
              <w:rPr>
                <w:noProof/>
                <w:webHidden/>
              </w:rPr>
            </w:r>
            <w:r>
              <w:rPr>
                <w:noProof/>
                <w:webHidden/>
              </w:rPr>
              <w:fldChar w:fldCharType="separate"/>
            </w:r>
            <w:r w:rsidR="000958AB">
              <w:rPr>
                <w:noProof/>
                <w:webHidden/>
              </w:rPr>
              <w:t>526</w:t>
            </w:r>
            <w:r>
              <w:rPr>
                <w:noProof/>
                <w:webHidden/>
              </w:rPr>
              <w:fldChar w:fldCharType="end"/>
            </w:r>
          </w:hyperlink>
        </w:p>
        <w:p w:rsidR="002746BC" w:rsidRDefault="002746BC">
          <w:pPr>
            <w:pStyle w:val="30"/>
            <w:rPr>
              <w:noProof/>
            </w:rPr>
          </w:pPr>
          <w:hyperlink w:anchor="_Toc12864248" w:history="1">
            <w:r w:rsidRPr="00E5579B">
              <w:rPr>
                <w:rStyle w:val="a7"/>
                <w:rFonts w:hint="eastAsia"/>
                <w:noProof/>
              </w:rPr>
              <w:t>关于扩大国有土地有偿使用范围的意见（国土资规〔</w:t>
            </w:r>
            <w:r w:rsidRPr="00E5579B">
              <w:rPr>
                <w:rStyle w:val="a7"/>
                <w:noProof/>
              </w:rPr>
              <w:t>2016</w:t>
            </w:r>
            <w:r w:rsidRPr="00E5579B">
              <w:rPr>
                <w:rStyle w:val="a7"/>
                <w:rFonts w:hint="eastAsia"/>
                <w:noProof/>
              </w:rPr>
              <w:t>〕</w:t>
            </w:r>
            <w:r w:rsidRPr="00E5579B">
              <w:rPr>
                <w:rStyle w:val="a7"/>
                <w:noProof/>
              </w:rPr>
              <w:t>20</w:t>
            </w:r>
            <w:r w:rsidRPr="00E5579B">
              <w:rPr>
                <w:rStyle w:val="a7"/>
                <w:rFonts w:hint="eastAsia"/>
                <w:noProof/>
              </w:rPr>
              <w:t>号）</w:t>
            </w:r>
            <w:r>
              <w:rPr>
                <w:noProof/>
                <w:webHidden/>
              </w:rPr>
              <w:tab/>
            </w:r>
            <w:r>
              <w:rPr>
                <w:noProof/>
                <w:webHidden/>
              </w:rPr>
              <w:fldChar w:fldCharType="begin"/>
            </w:r>
            <w:r>
              <w:rPr>
                <w:noProof/>
                <w:webHidden/>
              </w:rPr>
              <w:instrText xml:space="preserve"> PAGEREF _Toc12864248 \h </w:instrText>
            </w:r>
            <w:r>
              <w:rPr>
                <w:noProof/>
                <w:webHidden/>
              </w:rPr>
            </w:r>
            <w:r>
              <w:rPr>
                <w:noProof/>
                <w:webHidden/>
              </w:rPr>
              <w:fldChar w:fldCharType="separate"/>
            </w:r>
            <w:r w:rsidR="000958AB">
              <w:rPr>
                <w:noProof/>
                <w:webHidden/>
              </w:rPr>
              <w:t>538</w:t>
            </w:r>
            <w:r>
              <w:rPr>
                <w:noProof/>
                <w:webHidden/>
              </w:rPr>
              <w:fldChar w:fldCharType="end"/>
            </w:r>
          </w:hyperlink>
        </w:p>
        <w:p w:rsidR="002746BC" w:rsidRDefault="002746BC">
          <w:pPr>
            <w:pStyle w:val="30"/>
            <w:rPr>
              <w:noProof/>
            </w:rPr>
          </w:pPr>
          <w:hyperlink w:anchor="_Toc12864249" w:history="1">
            <w:r w:rsidRPr="00E5579B">
              <w:rPr>
                <w:rStyle w:val="a7"/>
                <w:rFonts w:hint="eastAsia"/>
                <w:noProof/>
              </w:rPr>
              <w:t>国务院关于印发土壤污染防治行动计划的通知（国发〔</w:t>
            </w:r>
            <w:r w:rsidRPr="00E5579B">
              <w:rPr>
                <w:rStyle w:val="a7"/>
                <w:noProof/>
              </w:rPr>
              <w:t>2016</w:t>
            </w:r>
            <w:r w:rsidRPr="00E5579B">
              <w:rPr>
                <w:rStyle w:val="a7"/>
                <w:rFonts w:hint="eastAsia"/>
                <w:noProof/>
              </w:rPr>
              <w:t>〕</w:t>
            </w:r>
            <w:r w:rsidRPr="00E5579B">
              <w:rPr>
                <w:rStyle w:val="a7"/>
                <w:noProof/>
              </w:rPr>
              <w:t>31</w:t>
            </w:r>
            <w:r w:rsidRPr="00E5579B">
              <w:rPr>
                <w:rStyle w:val="a7"/>
                <w:rFonts w:hint="eastAsia"/>
                <w:noProof/>
              </w:rPr>
              <w:t>号）</w:t>
            </w:r>
            <w:r>
              <w:rPr>
                <w:noProof/>
                <w:webHidden/>
              </w:rPr>
              <w:tab/>
            </w:r>
            <w:r>
              <w:rPr>
                <w:noProof/>
                <w:webHidden/>
              </w:rPr>
              <w:fldChar w:fldCharType="begin"/>
            </w:r>
            <w:r>
              <w:rPr>
                <w:noProof/>
                <w:webHidden/>
              </w:rPr>
              <w:instrText xml:space="preserve"> PAGEREF _Toc12864249 \h </w:instrText>
            </w:r>
            <w:r>
              <w:rPr>
                <w:noProof/>
                <w:webHidden/>
              </w:rPr>
            </w:r>
            <w:r>
              <w:rPr>
                <w:noProof/>
                <w:webHidden/>
              </w:rPr>
              <w:fldChar w:fldCharType="separate"/>
            </w:r>
            <w:r w:rsidR="000958AB">
              <w:rPr>
                <w:noProof/>
                <w:webHidden/>
              </w:rPr>
              <w:t>545</w:t>
            </w:r>
            <w:r>
              <w:rPr>
                <w:noProof/>
                <w:webHidden/>
              </w:rPr>
              <w:fldChar w:fldCharType="end"/>
            </w:r>
          </w:hyperlink>
        </w:p>
        <w:p w:rsidR="002746BC" w:rsidRDefault="002746BC">
          <w:pPr>
            <w:pStyle w:val="30"/>
            <w:rPr>
              <w:noProof/>
            </w:rPr>
          </w:pPr>
          <w:hyperlink w:anchor="_Toc12864250" w:history="1">
            <w:r w:rsidRPr="00E5579B">
              <w:rPr>
                <w:rStyle w:val="a7"/>
                <w:rFonts w:hint="eastAsia"/>
                <w:noProof/>
              </w:rPr>
              <w:t>国土资源部全国工商联关于进一步鼓励和引导民间资本投资国土资源领域的意见（国土资发〔</w:t>
            </w:r>
            <w:r w:rsidRPr="00E5579B">
              <w:rPr>
                <w:rStyle w:val="a7"/>
                <w:noProof/>
              </w:rPr>
              <w:t>2012</w:t>
            </w:r>
            <w:r w:rsidRPr="00E5579B">
              <w:rPr>
                <w:rStyle w:val="a7"/>
                <w:rFonts w:hint="eastAsia"/>
                <w:noProof/>
              </w:rPr>
              <w:t>〕</w:t>
            </w:r>
            <w:r w:rsidRPr="00E5579B">
              <w:rPr>
                <w:rStyle w:val="a7"/>
                <w:noProof/>
              </w:rPr>
              <w:t>100</w:t>
            </w:r>
            <w:r w:rsidRPr="00E5579B">
              <w:rPr>
                <w:rStyle w:val="a7"/>
                <w:rFonts w:hint="eastAsia"/>
                <w:noProof/>
              </w:rPr>
              <w:t>号）</w:t>
            </w:r>
            <w:r>
              <w:rPr>
                <w:noProof/>
                <w:webHidden/>
              </w:rPr>
              <w:tab/>
            </w:r>
            <w:r>
              <w:rPr>
                <w:noProof/>
                <w:webHidden/>
              </w:rPr>
              <w:fldChar w:fldCharType="begin"/>
            </w:r>
            <w:r>
              <w:rPr>
                <w:noProof/>
                <w:webHidden/>
              </w:rPr>
              <w:instrText xml:space="preserve"> PAGEREF _Toc12864250 \h </w:instrText>
            </w:r>
            <w:r>
              <w:rPr>
                <w:noProof/>
                <w:webHidden/>
              </w:rPr>
            </w:r>
            <w:r>
              <w:rPr>
                <w:noProof/>
                <w:webHidden/>
              </w:rPr>
              <w:fldChar w:fldCharType="separate"/>
            </w:r>
            <w:r w:rsidR="000958AB">
              <w:rPr>
                <w:noProof/>
                <w:webHidden/>
              </w:rPr>
              <w:t>567</w:t>
            </w:r>
            <w:r>
              <w:rPr>
                <w:noProof/>
                <w:webHidden/>
              </w:rPr>
              <w:fldChar w:fldCharType="end"/>
            </w:r>
          </w:hyperlink>
        </w:p>
        <w:p w:rsidR="002746BC" w:rsidRDefault="002746BC">
          <w:pPr>
            <w:pStyle w:val="30"/>
            <w:rPr>
              <w:noProof/>
            </w:rPr>
          </w:pPr>
          <w:hyperlink w:anchor="_Toc12864251" w:history="1">
            <w:r w:rsidRPr="00E5579B">
              <w:rPr>
                <w:rStyle w:val="a7"/>
                <w:rFonts w:hint="eastAsia"/>
                <w:noProof/>
              </w:rPr>
              <w:t>招标拍卖挂牌出让国有建设用地使用权规定（中华人民共和国国土资源部令第</w:t>
            </w:r>
            <w:r w:rsidRPr="00E5579B">
              <w:rPr>
                <w:rStyle w:val="a7"/>
                <w:noProof/>
              </w:rPr>
              <w:t>39</w:t>
            </w:r>
            <w:r w:rsidRPr="00E5579B">
              <w:rPr>
                <w:rStyle w:val="a7"/>
                <w:rFonts w:hint="eastAsia"/>
                <w:noProof/>
              </w:rPr>
              <w:t>号）</w:t>
            </w:r>
            <w:r>
              <w:rPr>
                <w:noProof/>
                <w:webHidden/>
              </w:rPr>
              <w:tab/>
            </w:r>
            <w:r>
              <w:rPr>
                <w:noProof/>
                <w:webHidden/>
              </w:rPr>
              <w:fldChar w:fldCharType="begin"/>
            </w:r>
            <w:r>
              <w:rPr>
                <w:noProof/>
                <w:webHidden/>
              </w:rPr>
              <w:instrText xml:space="preserve"> PAGEREF _Toc12864251 \h </w:instrText>
            </w:r>
            <w:r>
              <w:rPr>
                <w:noProof/>
                <w:webHidden/>
              </w:rPr>
            </w:r>
            <w:r>
              <w:rPr>
                <w:noProof/>
                <w:webHidden/>
              </w:rPr>
              <w:fldChar w:fldCharType="separate"/>
            </w:r>
            <w:r w:rsidR="000958AB">
              <w:rPr>
                <w:noProof/>
                <w:webHidden/>
              </w:rPr>
              <w:t>573</w:t>
            </w:r>
            <w:r>
              <w:rPr>
                <w:noProof/>
                <w:webHidden/>
              </w:rPr>
              <w:fldChar w:fldCharType="end"/>
            </w:r>
          </w:hyperlink>
        </w:p>
        <w:p w:rsidR="002746BC" w:rsidRDefault="002746BC">
          <w:pPr>
            <w:pStyle w:val="20"/>
            <w:tabs>
              <w:tab w:val="right" w:leader="dot" w:pos="8296"/>
            </w:tabs>
            <w:rPr>
              <w:noProof/>
            </w:rPr>
          </w:pPr>
          <w:hyperlink w:anchor="_Toc12864252" w:history="1">
            <w:r w:rsidRPr="00E5579B">
              <w:rPr>
                <w:rStyle w:val="a7"/>
                <w:noProof/>
              </w:rPr>
              <w:t>2</w:t>
            </w:r>
            <w:r w:rsidRPr="00E5579B">
              <w:rPr>
                <w:rStyle w:val="a7"/>
                <w:rFonts w:hint="eastAsia"/>
                <w:noProof/>
              </w:rPr>
              <w:t>、特色小镇</w:t>
            </w:r>
            <w:r>
              <w:rPr>
                <w:noProof/>
                <w:webHidden/>
              </w:rPr>
              <w:tab/>
            </w:r>
            <w:r>
              <w:rPr>
                <w:noProof/>
                <w:webHidden/>
              </w:rPr>
              <w:fldChar w:fldCharType="begin"/>
            </w:r>
            <w:r>
              <w:rPr>
                <w:noProof/>
                <w:webHidden/>
              </w:rPr>
              <w:instrText xml:space="preserve"> PAGEREF _Toc12864252 \h </w:instrText>
            </w:r>
            <w:r>
              <w:rPr>
                <w:noProof/>
                <w:webHidden/>
              </w:rPr>
            </w:r>
            <w:r>
              <w:rPr>
                <w:noProof/>
                <w:webHidden/>
              </w:rPr>
              <w:fldChar w:fldCharType="separate"/>
            </w:r>
            <w:r w:rsidR="000958AB">
              <w:rPr>
                <w:noProof/>
                <w:webHidden/>
              </w:rPr>
              <w:t>582</w:t>
            </w:r>
            <w:r>
              <w:rPr>
                <w:noProof/>
                <w:webHidden/>
              </w:rPr>
              <w:fldChar w:fldCharType="end"/>
            </w:r>
          </w:hyperlink>
        </w:p>
        <w:p w:rsidR="002746BC" w:rsidRDefault="002746BC">
          <w:pPr>
            <w:pStyle w:val="30"/>
            <w:rPr>
              <w:noProof/>
            </w:rPr>
          </w:pPr>
          <w:hyperlink w:anchor="_Toc12864253" w:history="1">
            <w:r w:rsidRPr="00E5579B">
              <w:rPr>
                <w:rStyle w:val="a7"/>
                <w:rFonts w:hint="eastAsia"/>
                <w:noProof/>
              </w:rPr>
              <w:t>国家发展改革委办公厅关于建立特色小镇和特色小城镇高质量发展机制的通知（发改办规划〔</w:t>
            </w:r>
            <w:r w:rsidRPr="00E5579B">
              <w:rPr>
                <w:rStyle w:val="a7"/>
                <w:noProof/>
              </w:rPr>
              <w:t>2018</w:t>
            </w:r>
            <w:r w:rsidRPr="00E5579B">
              <w:rPr>
                <w:rStyle w:val="a7"/>
                <w:rFonts w:hint="eastAsia"/>
                <w:noProof/>
              </w:rPr>
              <w:t>〕</w:t>
            </w:r>
            <w:r w:rsidRPr="00E5579B">
              <w:rPr>
                <w:rStyle w:val="a7"/>
                <w:noProof/>
              </w:rPr>
              <w:t>1041</w:t>
            </w:r>
            <w:r w:rsidRPr="00E5579B">
              <w:rPr>
                <w:rStyle w:val="a7"/>
                <w:rFonts w:hint="eastAsia"/>
                <w:noProof/>
              </w:rPr>
              <w:t>号）</w:t>
            </w:r>
            <w:r>
              <w:rPr>
                <w:noProof/>
                <w:webHidden/>
              </w:rPr>
              <w:tab/>
            </w:r>
            <w:r>
              <w:rPr>
                <w:noProof/>
                <w:webHidden/>
              </w:rPr>
              <w:fldChar w:fldCharType="begin"/>
            </w:r>
            <w:r>
              <w:rPr>
                <w:noProof/>
                <w:webHidden/>
              </w:rPr>
              <w:instrText xml:space="preserve"> PAGEREF _Toc12864253 \h </w:instrText>
            </w:r>
            <w:r>
              <w:rPr>
                <w:noProof/>
                <w:webHidden/>
              </w:rPr>
            </w:r>
            <w:r>
              <w:rPr>
                <w:noProof/>
                <w:webHidden/>
              </w:rPr>
              <w:fldChar w:fldCharType="separate"/>
            </w:r>
            <w:r w:rsidR="000958AB">
              <w:rPr>
                <w:noProof/>
                <w:webHidden/>
              </w:rPr>
              <w:t>583</w:t>
            </w:r>
            <w:r>
              <w:rPr>
                <w:noProof/>
                <w:webHidden/>
              </w:rPr>
              <w:fldChar w:fldCharType="end"/>
            </w:r>
          </w:hyperlink>
        </w:p>
        <w:p w:rsidR="002746BC" w:rsidRDefault="002746BC">
          <w:pPr>
            <w:pStyle w:val="30"/>
            <w:rPr>
              <w:noProof/>
            </w:rPr>
          </w:pPr>
          <w:hyperlink w:anchor="_Toc12864254" w:history="1">
            <w:r w:rsidRPr="00E5579B">
              <w:rPr>
                <w:rStyle w:val="a7"/>
                <w:rFonts w:hint="eastAsia"/>
                <w:noProof/>
              </w:rPr>
              <w:t>国家发展改革委等部委关于规范主题公园建设发展的指导意见（发改社会规〔</w:t>
            </w:r>
            <w:r w:rsidRPr="00E5579B">
              <w:rPr>
                <w:rStyle w:val="a7"/>
                <w:noProof/>
              </w:rPr>
              <w:t>2018</w:t>
            </w:r>
            <w:r w:rsidRPr="00E5579B">
              <w:rPr>
                <w:rStyle w:val="a7"/>
                <w:rFonts w:hint="eastAsia"/>
                <w:noProof/>
              </w:rPr>
              <w:t>〕</w:t>
            </w:r>
            <w:r w:rsidRPr="00E5579B">
              <w:rPr>
                <w:rStyle w:val="a7"/>
                <w:noProof/>
              </w:rPr>
              <w:t>400</w:t>
            </w:r>
            <w:r w:rsidRPr="00E5579B">
              <w:rPr>
                <w:rStyle w:val="a7"/>
                <w:rFonts w:hint="eastAsia"/>
                <w:noProof/>
              </w:rPr>
              <w:t>号）</w:t>
            </w:r>
            <w:r>
              <w:rPr>
                <w:noProof/>
                <w:webHidden/>
              </w:rPr>
              <w:tab/>
            </w:r>
            <w:r>
              <w:rPr>
                <w:noProof/>
                <w:webHidden/>
              </w:rPr>
              <w:fldChar w:fldCharType="begin"/>
            </w:r>
            <w:r>
              <w:rPr>
                <w:noProof/>
                <w:webHidden/>
              </w:rPr>
              <w:instrText xml:space="preserve"> PAGEREF _Toc12864254 \h </w:instrText>
            </w:r>
            <w:r>
              <w:rPr>
                <w:noProof/>
                <w:webHidden/>
              </w:rPr>
            </w:r>
            <w:r>
              <w:rPr>
                <w:noProof/>
                <w:webHidden/>
              </w:rPr>
              <w:fldChar w:fldCharType="separate"/>
            </w:r>
            <w:r w:rsidR="000958AB">
              <w:rPr>
                <w:noProof/>
                <w:webHidden/>
              </w:rPr>
              <w:t>589</w:t>
            </w:r>
            <w:r>
              <w:rPr>
                <w:noProof/>
                <w:webHidden/>
              </w:rPr>
              <w:fldChar w:fldCharType="end"/>
            </w:r>
          </w:hyperlink>
        </w:p>
        <w:p w:rsidR="002746BC" w:rsidRDefault="002746BC">
          <w:pPr>
            <w:pStyle w:val="30"/>
            <w:rPr>
              <w:noProof/>
            </w:rPr>
          </w:pPr>
          <w:hyperlink w:anchor="_Toc12864255" w:history="1">
            <w:r w:rsidRPr="00E5579B">
              <w:rPr>
                <w:rStyle w:val="a7"/>
                <w:rFonts w:hint="eastAsia"/>
                <w:noProof/>
              </w:rPr>
              <w:t>国家发展改革委</w:t>
            </w:r>
            <w:r w:rsidRPr="00E5579B">
              <w:rPr>
                <w:rStyle w:val="a7"/>
                <w:noProof/>
              </w:rPr>
              <w:t xml:space="preserve"> </w:t>
            </w:r>
            <w:r w:rsidRPr="00E5579B">
              <w:rPr>
                <w:rStyle w:val="a7"/>
                <w:rFonts w:hint="eastAsia"/>
                <w:noProof/>
              </w:rPr>
              <w:t>国土资源部</w:t>
            </w:r>
            <w:r w:rsidRPr="00E5579B">
              <w:rPr>
                <w:rStyle w:val="a7"/>
                <w:noProof/>
              </w:rPr>
              <w:t xml:space="preserve"> </w:t>
            </w:r>
            <w:r w:rsidRPr="00E5579B">
              <w:rPr>
                <w:rStyle w:val="a7"/>
                <w:rFonts w:hint="eastAsia"/>
                <w:noProof/>
              </w:rPr>
              <w:t>环境保护部</w:t>
            </w:r>
            <w:r w:rsidRPr="00E5579B">
              <w:rPr>
                <w:rStyle w:val="a7"/>
                <w:noProof/>
              </w:rPr>
              <w:t xml:space="preserve"> </w:t>
            </w:r>
            <w:r w:rsidRPr="00E5579B">
              <w:rPr>
                <w:rStyle w:val="a7"/>
                <w:rFonts w:hint="eastAsia"/>
                <w:noProof/>
              </w:rPr>
              <w:t>住房城乡建设部关于规范推进特色小镇和特色小城镇建设的若干意见</w:t>
            </w:r>
            <w:r>
              <w:rPr>
                <w:noProof/>
                <w:webHidden/>
              </w:rPr>
              <w:tab/>
            </w:r>
            <w:r>
              <w:rPr>
                <w:noProof/>
                <w:webHidden/>
              </w:rPr>
              <w:fldChar w:fldCharType="begin"/>
            </w:r>
            <w:r>
              <w:rPr>
                <w:noProof/>
                <w:webHidden/>
              </w:rPr>
              <w:instrText xml:space="preserve"> PAGEREF _Toc12864255 \h </w:instrText>
            </w:r>
            <w:r>
              <w:rPr>
                <w:noProof/>
                <w:webHidden/>
              </w:rPr>
            </w:r>
            <w:r>
              <w:rPr>
                <w:noProof/>
                <w:webHidden/>
              </w:rPr>
              <w:fldChar w:fldCharType="separate"/>
            </w:r>
            <w:r w:rsidR="000958AB">
              <w:rPr>
                <w:noProof/>
                <w:webHidden/>
              </w:rPr>
              <w:t>597</w:t>
            </w:r>
            <w:r>
              <w:rPr>
                <w:noProof/>
                <w:webHidden/>
              </w:rPr>
              <w:fldChar w:fldCharType="end"/>
            </w:r>
          </w:hyperlink>
        </w:p>
        <w:p w:rsidR="002746BC" w:rsidRDefault="002746BC">
          <w:pPr>
            <w:pStyle w:val="30"/>
            <w:rPr>
              <w:noProof/>
            </w:rPr>
          </w:pPr>
          <w:hyperlink w:anchor="_Toc12864256" w:history="1">
            <w:r w:rsidRPr="00E5579B">
              <w:rPr>
                <w:rStyle w:val="a7"/>
                <w:rFonts w:hint="eastAsia"/>
                <w:noProof/>
              </w:rPr>
              <w:t>中共中央办公厅</w:t>
            </w:r>
            <w:r w:rsidRPr="00E5579B">
              <w:rPr>
                <w:rStyle w:val="a7"/>
                <w:noProof/>
              </w:rPr>
              <w:t xml:space="preserve"> </w:t>
            </w:r>
            <w:r w:rsidRPr="00E5579B">
              <w:rPr>
                <w:rStyle w:val="a7"/>
                <w:rFonts w:hint="eastAsia"/>
                <w:noProof/>
              </w:rPr>
              <w:t>国务院办公厅印发《建立国家公园体制总体方案》（</w:t>
            </w:r>
            <w:r w:rsidRPr="00E5579B">
              <w:rPr>
                <w:rStyle w:val="a7"/>
                <w:noProof/>
              </w:rPr>
              <w:t>2017</w:t>
            </w:r>
            <w:r w:rsidRPr="00E5579B">
              <w:rPr>
                <w:rStyle w:val="a7"/>
                <w:rFonts w:hint="eastAsia"/>
                <w:noProof/>
              </w:rPr>
              <w:t>年</w:t>
            </w:r>
            <w:r w:rsidRPr="00E5579B">
              <w:rPr>
                <w:rStyle w:val="a7"/>
                <w:noProof/>
              </w:rPr>
              <w:t>9</w:t>
            </w:r>
            <w:r w:rsidRPr="00E5579B">
              <w:rPr>
                <w:rStyle w:val="a7"/>
                <w:rFonts w:hint="eastAsia"/>
                <w:noProof/>
              </w:rPr>
              <w:t>月）</w:t>
            </w:r>
            <w:r>
              <w:rPr>
                <w:noProof/>
                <w:webHidden/>
              </w:rPr>
              <w:tab/>
            </w:r>
            <w:r>
              <w:rPr>
                <w:noProof/>
                <w:webHidden/>
              </w:rPr>
              <w:fldChar w:fldCharType="begin"/>
            </w:r>
            <w:r>
              <w:rPr>
                <w:noProof/>
                <w:webHidden/>
              </w:rPr>
              <w:instrText xml:space="preserve"> PAGEREF _Toc12864256 \h </w:instrText>
            </w:r>
            <w:r>
              <w:rPr>
                <w:noProof/>
                <w:webHidden/>
              </w:rPr>
            </w:r>
            <w:r>
              <w:rPr>
                <w:noProof/>
                <w:webHidden/>
              </w:rPr>
              <w:fldChar w:fldCharType="separate"/>
            </w:r>
            <w:r w:rsidR="000958AB">
              <w:rPr>
                <w:noProof/>
                <w:webHidden/>
              </w:rPr>
              <w:t>603</w:t>
            </w:r>
            <w:r>
              <w:rPr>
                <w:noProof/>
                <w:webHidden/>
              </w:rPr>
              <w:fldChar w:fldCharType="end"/>
            </w:r>
          </w:hyperlink>
        </w:p>
        <w:p w:rsidR="002746BC" w:rsidRDefault="002746BC">
          <w:pPr>
            <w:pStyle w:val="30"/>
            <w:rPr>
              <w:noProof/>
            </w:rPr>
          </w:pPr>
          <w:hyperlink w:anchor="_Toc12864257" w:history="1">
            <w:r w:rsidRPr="00E5579B">
              <w:rPr>
                <w:rStyle w:val="a7"/>
                <w:rFonts w:hint="eastAsia"/>
                <w:noProof/>
              </w:rPr>
              <w:t>住房和城乡建设部关于保持和彰显特色小镇特色若干问题的通知（建村〔</w:t>
            </w:r>
            <w:r w:rsidRPr="00E5579B">
              <w:rPr>
                <w:rStyle w:val="a7"/>
                <w:noProof/>
              </w:rPr>
              <w:t>2017</w:t>
            </w:r>
            <w:r w:rsidRPr="00E5579B">
              <w:rPr>
                <w:rStyle w:val="a7"/>
                <w:rFonts w:hint="eastAsia"/>
                <w:noProof/>
              </w:rPr>
              <w:t>〕</w:t>
            </w:r>
            <w:r w:rsidRPr="00E5579B">
              <w:rPr>
                <w:rStyle w:val="a7"/>
                <w:noProof/>
              </w:rPr>
              <w:t>144</w:t>
            </w:r>
            <w:r w:rsidRPr="00E5579B">
              <w:rPr>
                <w:rStyle w:val="a7"/>
                <w:rFonts w:hint="eastAsia"/>
                <w:noProof/>
              </w:rPr>
              <w:t>号）</w:t>
            </w:r>
            <w:r>
              <w:rPr>
                <w:noProof/>
                <w:webHidden/>
              </w:rPr>
              <w:tab/>
            </w:r>
            <w:r>
              <w:rPr>
                <w:noProof/>
                <w:webHidden/>
              </w:rPr>
              <w:fldChar w:fldCharType="begin"/>
            </w:r>
            <w:r>
              <w:rPr>
                <w:noProof/>
                <w:webHidden/>
              </w:rPr>
              <w:instrText xml:space="preserve"> PAGEREF _Toc12864257 \h </w:instrText>
            </w:r>
            <w:r>
              <w:rPr>
                <w:noProof/>
                <w:webHidden/>
              </w:rPr>
            </w:r>
            <w:r>
              <w:rPr>
                <w:noProof/>
                <w:webHidden/>
              </w:rPr>
              <w:fldChar w:fldCharType="separate"/>
            </w:r>
            <w:r w:rsidR="000958AB">
              <w:rPr>
                <w:noProof/>
                <w:webHidden/>
              </w:rPr>
              <w:t>613</w:t>
            </w:r>
            <w:r>
              <w:rPr>
                <w:noProof/>
                <w:webHidden/>
              </w:rPr>
              <w:fldChar w:fldCharType="end"/>
            </w:r>
          </w:hyperlink>
        </w:p>
        <w:p w:rsidR="002746BC" w:rsidRDefault="002746BC">
          <w:pPr>
            <w:pStyle w:val="30"/>
            <w:rPr>
              <w:noProof/>
            </w:rPr>
          </w:pPr>
          <w:hyperlink w:anchor="_Toc12864258" w:history="1">
            <w:r w:rsidRPr="00E5579B">
              <w:rPr>
                <w:rStyle w:val="a7"/>
                <w:rFonts w:hint="eastAsia"/>
                <w:noProof/>
              </w:rPr>
              <w:t>关于开展田园综合体建设试点工作的通知（财办〔</w:t>
            </w:r>
            <w:r w:rsidRPr="00E5579B">
              <w:rPr>
                <w:rStyle w:val="a7"/>
                <w:noProof/>
              </w:rPr>
              <w:t>2017</w:t>
            </w:r>
            <w:r w:rsidRPr="00E5579B">
              <w:rPr>
                <w:rStyle w:val="a7"/>
                <w:rFonts w:hint="eastAsia"/>
                <w:noProof/>
              </w:rPr>
              <w:t>〕</w:t>
            </w:r>
            <w:r w:rsidRPr="00E5579B">
              <w:rPr>
                <w:rStyle w:val="a7"/>
                <w:noProof/>
              </w:rPr>
              <w:t>29</w:t>
            </w:r>
            <w:r w:rsidRPr="00E5579B">
              <w:rPr>
                <w:rStyle w:val="a7"/>
                <w:rFonts w:hint="eastAsia"/>
                <w:noProof/>
              </w:rPr>
              <w:t>号）</w:t>
            </w:r>
            <w:r>
              <w:rPr>
                <w:noProof/>
                <w:webHidden/>
              </w:rPr>
              <w:tab/>
            </w:r>
            <w:r>
              <w:rPr>
                <w:noProof/>
                <w:webHidden/>
              </w:rPr>
              <w:fldChar w:fldCharType="begin"/>
            </w:r>
            <w:r>
              <w:rPr>
                <w:noProof/>
                <w:webHidden/>
              </w:rPr>
              <w:instrText xml:space="preserve"> PAGEREF _Toc12864258 \h </w:instrText>
            </w:r>
            <w:r>
              <w:rPr>
                <w:noProof/>
                <w:webHidden/>
              </w:rPr>
            </w:r>
            <w:r>
              <w:rPr>
                <w:noProof/>
                <w:webHidden/>
              </w:rPr>
              <w:fldChar w:fldCharType="separate"/>
            </w:r>
            <w:r w:rsidR="000958AB">
              <w:rPr>
                <w:noProof/>
                <w:webHidden/>
              </w:rPr>
              <w:t>616</w:t>
            </w:r>
            <w:r>
              <w:rPr>
                <w:noProof/>
                <w:webHidden/>
              </w:rPr>
              <w:fldChar w:fldCharType="end"/>
            </w:r>
          </w:hyperlink>
        </w:p>
        <w:p w:rsidR="002746BC" w:rsidRDefault="002746BC">
          <w:pPr>
            <w:pStyle w:val="30"/>
            <w:rPr>
              <w:noProof/>
            </w:rPr>
          </w:pPr>
          <w:hyperlink w:anchor="_Toc12864259" w:history="1">
            <w:r w:rsidRPr="00E5579B">
              <w:rPr>
                <w:rStyle w:val="a7"/>
                <w:rFonts w:hint="eastAsia"/>
                <w:noProof/>
              </w:rPr>
              <w:t>国务院办公厅关于县域创新驱动发展的若干意见（国办发〔</w:t>
            </w:r>
            <w:r w:rsidRPr="00E5579B">
              <w:rPr>
                <w:rStyle w:val="a7"/>
                <w:noProof/>
              </w:rPr>
              <w:t>2017</w:t>
            </w:r>
            <w:r w:rsidRPr="00E5579B">
              <w:rPr>
                <w:rStyle w:val="a7"/>
                <w:rFonts w:hint="eastAsia"/>
                <w:noProof/>
              </w:rPr>
              <w:t>〕</w:t>
            </w:r>
            <w:r w:rsidRPr="00E5579B">
              <w:rPr>
                <w:rStyle w:val="a7"/>
                <w:noProof/>
              </w:rPr>
              <w:t>43</w:t>
            </w:r>
            <w:r w:rsidRPr="00E5579B">
              <w:rPr>
                <w:rStyle w:val="a7"/>
                <w:rFonts w:hint="eastAsia"/>
                <w:noProof/>
              </w:rPr>
              <w:t>号）</w:t>
            </w:r>
            <w:r>
              <w:rPr>
                <w:noProof/>
                <w:webHidden/>
              </w:rPr>
              <w:tab/>
            </w:r>
            <w:r>
              <w:rPr>
                <w:noProof/>
                <w:webHidden/>
              </w:rPr>
              <w:fldChar w:fldCharType="begin"/>
            </w:r>
            <w:r>
              <w:rPr>
                <w:noProof/>
                <w:webHidden/>
              </w:rPr>
              <w:instrText xml:space="preserve"> PAGEREF _Toc12864259 \h </w:instrText>
            </w:r>
            <w:r>
              <w:rPr>
                <w:noProof/>
                <w:webHidden/>
              </w:rPr>
            </w:r>
            <w:r>
              <w:rPr>
                <w:noProof/>
                <w:webHidden/>
              </w:rPr>
              <w:fldChar w:fldCharType="separate"/>
            </w:r>
            <w:r w:rsidR="000958AB">
              <w:rPr>
                <w:noProof/>
                <w:webHidden/>
              </w:rPr>
              <w:t>626</w:t>
            </w:r>
            <w:r>
              <w:rPr>
                <w:noProof/>
                <w:webHidden/>
              </w:rPr>
              <w:fldChar w:fldCharType="end"/>
            </w:r>
          </w:hyperlink>
        </w:p>
        <w:p w:rsidR="002746BC" w:rsidRDefault="002746BC">
          <w:pPr>
            <w:pStyle w:val="30"/>
            <w:rPr>
              <w:noProof/>
            </w:rPr>
          </w:pPr>
          <w:hyperlink w:anchor="_Toc12864260" w:history="1">
            <w:r w:rsidRPr="00E5579B">
              <w:rPr>
                <w:rStyle w:val="a7"/>
                <w:rFonts w:hint="eastAsia"/>
                <w:noProof/>
              </w:rPr>
              <w:t>体育总局办公厅关于推动运动休闲特色小镇建设工作的通知（体群字〔</w:t>
            </w:r>
            <w:r w:rsidRPr="00E5579B">
              <w:rPr>
                <w:rStyle w:val="a7"/>
                <w:noProof/>
              </w:rPr>
              <w:t>2017</w:t>
            </w:r>
            <w:r w:rsidRPr="00E5579B">
              <w:rPr>
                <w:rStyle w:val="a7"/>
                <w:rFonts w:hint="eastAsia"/>
                <w:noProof/>
              </w:rPr>
              <w:t>〕</w:t>
            </w:r>
            <w:r w:rsidRPr="00E5579B">
              <w:rPr>
                <w:rStyle w:val="a7"/>
                <w:noProof/>
              </w:rPr>
              <w:t>73</w:t>
            </w:r>
            <w:r w:rsidRPr="00E5579B">
              <w:rPr>
                <w:rStyle w:val="a7"/>
                <w:rFonts w:hint="eastAsia"/>
                <w:noProof/>
              </w:rPr>
              <w:t>号）</w:t>
            </w:r>
            <w:r>
              <w:rPr>
                <w:noProof/>
                <w:webHidden/>
              </w:rPr>
              <w:tab/>
            </w:r>
            <w:r>
              <w:rPr>
                <w:noProof/>
                <w:webHidden/>
              </w:rPr>
              <w:fldChar w:fldCharType="begin"/>
            </w:r>
            <w:r>
              <w:rPr>
                <w:noProof/>
                <w:webHidden/>
              </w:rPr>
              <w:instrText xml:space="preserve"> PAGEREF _Toc12864260 \h </w:instrText>
            </w:r>
            <w:r>
              <w:rPr>
                <w:noProof/>
                <w:webHidden/>
              </w:rPr>
            </w:r>
            <w:r>
              <w:rPr>
                <w:noProof/>
                <w:webHidden/>
              </w:rPr>
              <w:fldChar w:fldCharType="separate"/>
            </w:r>
            <w:r w:rsidR="000958AB">
              <w:rPr>
                <w:noProof/>
                <w:webHidden/>
              </w:rPr>
              <w:t>634</w:t>
            </w:r>
            <w:r>
              <w:rPr>
                <w:noProof/>
                <w:webHidden/>
              </w:rPr>
              <w:fldChar w:fldCharType="end"/>
            </w:r>
          </w:hyperlink>
        </w:p>
        <w:p w:rsidR="002746BC" w:rsidRDefault="002746BC">
          <w:pPr>
            <w:pStyle w:val="30"/>
            <w:rPr>
              <w:noProof/>
            </w:rPr>
          </w:pPr>
          <w:hyperlink w:anchor="_Toc12864261" w:history="1">
            <w:r w:rsidRPr="00E5579B">
              <w:rPr>
                <w:rStyle w:val="a7"/>
                <w:rFonts w:hint="eastAsia"/>
                <w:noProof/>
              </w:rPr>
              <w:t>城市设计管理办法（中华人民共和国住房和城乡建设部令第</w:t>
            </w:r>
            <w:r w:rsidRPr="00E5579B">
              <w:rPr>
                <w:rStyle w:val="a7"/>
                <w:noProof/>
              </w:rPr>
              <w:t>35</w:t>
            </w:r>
            <w:r w:rsidRPr="00E5579B">
              <w:rPr>
                <w:rStyle w:val="a7"/>
                <w:rFonts w:hint="eastAsia"/>
                <w:noProof/>
              </w:rPr>
              <w:t>号）</w:t>
            </w:r>
            <w:r>
              <w:rPr>
                <w:noProof/>
                <w:webHidden/>
              </w:rPr>
              <w:tab/>
            </w:r>
            <w:r>
              <w:rPr>
                <w:noProof/>
                <w:webHidden/>
              </w:rPr>
              <w:fldChar w:fldCharType="begin"/>
            </w:r>
            <w:r>
              <w:rPr>
                <w:noProof/>
                <w:webHidden/>
              </w:rPr>
              <w:instrText xml:space="preserve"> PAGEREF _Toc12864261 \h </w:instrText>
            </w:r>
            <w:r>
              <w:rPr>
                <w:noProof/>
                <w:webHidden/>
              </w:rPr>
            </w:r>
            <w:r>
              <w:rPr>
                <w:noProof/>
                <w:webHidden/>
              </w:rPr>
              <w:fldChar w:fldCharType="separate"/>
            </w:r>
            <w:r w:rsidR="000958AB">
              <w:rPr>
                <w:noProof/>
                <w:webHidden/>
              </w:rPr>
              <w:t>641</w:t>
            </w:r>
            <w:r>
              <w:rPr>
                <w:noProof/>
                <w:webHidden/>
              </w:rPr>
              <w:fldChar w:fldCharType="end"/>
            </w:r>
          </w:hyperlink>
        </w:p>
        <w:p w:rsidR="002746BC" w:rsidRDefault="002746BC">
          <w:pPr>
            <w:pStyle w:val="30"/>
            <w:rPr>
              <w:noProof/>
            </w:rPr>
          </w:pPr>
          <w:hyperlink w:anchor="_Toc12864262" w:history="1">
            <w:r w:rsidRPr="00E5579B">
              <w:rPr>
                <w:rStyle w:val="a7"/>
                <w:rFonts w:hint="eastAsia"/>
                <w:noProof/>
              </w:rPr>
              <w:t>住房城乡建设部</w:t>
            </w:r>
            <w:r w:rsidRPr="00E5579B">
              <w:rPr>
                <w:rStyle w:val="a7"/>
                <w:noProof/>
              </w:rPr>
              <w:t xml:space="preserve"> </w:t>
            </w:r>
            <w:r w:rsidRPr="00E5579B">
              <w:rPr>
                <w:rStyle w:val="a7"/>
                <w:rFonts w:hint="eastAsia"/>
                <w:noProof/>
              </w:rPr>
              <w:t>国家开发银行关于推进开发性金融支持小城镇建设的通知（建村〔</w:t>
            </w:r>
            <w:r w:rsidRPr="00E5579B">
              <w:rPr>
                <w:rStyle w:val="a7"/>
                <w:noProof/>
              </w:rPr>
              <w:t>2017</w:t>
            </w:r>
            <w:r w:rsidRPr="00E5579B">
              <w:rPr>
                <w:rStyle w:val="a7"/>
                <w:rFonts w:hint="eastAsia"/>
                <w:noProof/>
              </w:rPr>
              <w:t>〕</w:t>
            </w:r>
            <w:r w:rsidRPr="00E5579B">
              <w:rPr>
                <w:rStyle w:val="a7"/>
                <w:noProof/>
              </w:rPr>
              <w:t>27</w:t>
            </w:r>
            <w:r w:rsidRPr="00E5579B">
              <w:rPr>
                <w:rStyle w:val="a7"/>
                <w:rFonts w:hint="eastAsia"/>
                <w:noProof/>
              </w:rPr>
              <w:t>号）</w:t>
            </w:r>
            <w:r>
              <w:rPr>
                <w:noProof/>
                <w:webHidden/>
              </w:rPr>
              <w:tab/>
            </w:r>
            <w:r>
              <w:rPr>
                <w:noProof/>
                <w:webHidden/>
              </w:rPr>
              <w:fldChar w:fldCharType="begin"/>
            </w:r>
            <w:r>
              <w:rPr>
                <w:noProof/>
                <w:webHidden/>
              </w:rPr>
              <w:instrText xml:space="preserve"> PAGEREF _Toc12864262 \h </w:instrText>
            </w:r>
            <w:r>
              <w:rPr>
                <w:noProof/>
                <w:webHidden/>
              </w:rPr>
            </w:r>
            <w:r>
              <w:rPr>
                <w:noProof/>
                <w:webHidden/>
              </w:rPr>
              <w:fldChar w:fldCharType="separate"/>
            </w:r>
            <w:r w:rsidR="000958AB">
              <w:rPr>
                <w:noProof/>
                <w:webHidden/>
              </w:rPr>
              <w:t>646</w:t>
            </w:r>
            <w:r>
              <w:rPr>
                <w:noProof/>
                <w:webHidden/>
              </w:rPr>
              <w:fldChar w:fldCharType="end"/>
            </w:r>
          </w:hyperlink>
        </w:p>
        <w:p w:rsidR="002746BC" w:rsidRDefault="002746BC">
          <w:pPr>
            <w:pStyle w:val="30"/>
            <w:rPr>
              <w:noProof/>
            </w:rPr>
          </w:pPr>
          <w:hyperlink w:anchor="_Toc12864263" w:history="1">
            <w:r w:rsidRPr="00E5579B">
              <w:rPr>
                <w:rStyle w:val="a7"/>
                <w:rFonts w:hint="eastAsia"/>
                <w:noProof/>
              </w:rPr>
              <w:t>国家发展改革委</w:t>
            </w:r>
            <w:r w:rsidRPr="00E5579B">
              <w:rPr>
                <w:rStyle w:val="a7"/>
                <w:noProof/>
              </w:rPr>
              <w:t xml:space="preserve"> </w:t>
            </w:r>
            <w:r w:rsidRPr="00E5579B">
              <w:rPr>
                <w:rStyle w:val="a7"/>
                <w:rFonts w:hint="eastAsia"/>
                <w:noProof/>
              </w:rPr>
              <w:t>国家开发银行关于开发性金融支持特色小（城）镇建设促进脱贫攻坚的意见（发改规划〔</w:t>
            </w:r>
            <w:r w:rsidRPr="00E5579B">
              <w:rPr>
                <w:rStyle w:val="a7"/>
                <w:noProof/>
              </w:rPr>
              <w:t>2017</w:t>
            </w:r>
            <w:r w:rsidRPr="00E5579B">
              <w:rPr>
                <w:rStyle w:val="a7"/>
                <w:rFonts w:hint="eastAsia"/>
                <w:noProof/>
              </w:rPr>
              <w:t>〕</w:t>
            </w:r>
            <w:r w:rsidRPr="00E5579B">
              <w:rPr>
                <w:rStyle w:val="a7"/>
                <w:noProof/>
              </w:rPr>
              <w:t>102</w:t>
            </w:r>
            <w:r w:rsidRPr="00E5579B">
              <w:rPr>
                <w:rStyle w:val="a7"/>
                <w:rFonts w:hint="eastAsia"/>
                <w:noProof/>
              </w:rPr>
              <w:t>号）</w:t>
            </w:r>
            <w:r>
              <w:rPr>
                <w:noProof/>
                <w:webHidden/>
              </w:rPr>
              <w:tab/>
            </w:r>
            <w:r>
              <w:rPr>
                <w:noProof/>
                <w:webHidden/>
              </w:rPr>
              <w:fldChar w:fldCharType="begin"/>
            </w:r>
            <w:r>
              <w:rPr>
                <w:noProof/>
                <w:webHidden/>
              </w:rPr>
              <w:instrText xml:space="preserve"> PAGEREF _Toc12864263 \h </w:instrText>
            </w:r>
            <w:r>
              <w:rPr>
                <w:noProof/>
                <w:webHidden/>
              </w:rPr>
            </w:r>
            <w:r>
              <w:rPr>
                <w:noProof/>
                <w:webHidden/>
              </w:rPr>
              <w:fldChar w:fldCharType="separate"/>
            </w:r>
            <w:r w:rsidR="000958AB">
              <w:rPr>
                <w:noProof/>
                <w:webHidden/>
              </w:rPr>
              <w:t>651</w:t>
            </w:r>
            <w:r>
              <w:rPr>
                <w:noProof/>
                <w:webHidden/>
              </w:rPr>
              <w:fldChar w:fldCharType="end"/>
            </w:r>
          </w:hyperlink>
        </w:p>
        <w:p w:rsidR="002746BC" w:rsidRDefault="002746BC">
          <w:pPr>
            <w:pStyle w:val="30"/>
            <w:rPr>
              <w:noProof/>
            </w:rPr>
          </w:pPr>
          <w:hyperlink w:anchor="_Toc12864264" w:history="1">
            <w:r w:rsidRPr="00E5579B">
              <w:rPr>
                <w:rStyle w:val="a7"/>
                <w:rFonts w:hint="eastAsia"/>
                <w:noProof/>
              </w:rPr>
              <w:t>住房城乡建设部</w:t>
            </w:r>
            <w:r w:rsidRPr="00E5579B">
              <w:rPr>
                <w:rStyle w:val="a7"/>
                <w:noProof/>
              </w:rPr>
              <w:t xml:space="preserve"> </w:t>
            </w:r>
            <w:r w:rsidRPr="00E5579B">
              <w:rPr>
                <w:rStyle w:val="a7"/>
                <w:rFonts w:hint="eastAsia"/>
                <w:noProof/>
              </w:rPr>
              <w:t>中国农业发展银行关于推进政策性金融支持小镇建设的通知（建村〔</w:t>
            </w:r>
            <w:r w:rsidRPr="00E5579B">
              <w:rPr>
                <w:rStyle w:val="a7"/>
                <w:noProof/>
              </w:rPr>
              <w:t>2016</w:t>
            </w:r>
            <w:r w:rsidRPr="00E5579B">
              <w:rPr>
                <w:rStyle w:val="a7"/>
                <w:rFonts w:hint="eastAsia"/>
                <w:noProof/>
              </w:rPr>
              <w:t>〕</w:t>
            </w:r>
            <w:r w:rsidRPr="00E5579B">
              <w:rPr>
                <w:rStyle w:val="a7"/>
                <w:noProof/>
              </w:rPr>
              <w:t>220</w:t>
            </w:r>
            <w:r w:rsidRPr="00E5579B">
              <w:rPr>
                <w:rStyle w:val="a7"/>
                <w:rFonts w:hint="eastAsia"/>
                <w:noProof/>
              </w:rPr>
              <w:t>号）</w:t>
            </w:r>
            <w:r>
              <w:rPr>
                <w:noProof/>
                <w:webHidden/>
              </w:rPr>
              <w:tab/>
            </w:r>
            <w:r>
              <w:rPr>
                <w:noProof/>
                <w:webHidden/>
              </w:rPr>
              <w:fldChar w:fldCharType="begin"/>
            </w:r>
            <w:r>
              <w:rPr>
                <w:noProof/>
                <w:webHidden/>
              </w:rPr>
              <w:instrText xml:space="preserve"> PAGEREF _Toc12864264 \h </w:instrText>
            </w:r>
            <w:r>
              <w:rPr>
                <w:noProof/>
                <w:webHidden/>
              </w:rPr>
            </w:r>
            <w:r>
              <w:rPr>
                <w:noProof/>
                <w:webHidden/>
              </w:rPr>
              <w:fldChar w:fldCharType="separate"/>
            </w:r>
            <w:r w:rsidR="000958AB">
              <w:rPr>
                <w:noProof/>
                <w:webHidden/>
              </w:rPr>
              <w:t>656</w:t>
            </w:r>
            <w:r>
              <w:rPr>
                <w:noProof/>
                <w:webHidden/>
              </w:rPr>
              <w:fldChar w:fldCharType="end"/>
            </w:r>
          </w:hyperlink>
        </w:p>
        <w:p w:rsidR="002746BC" w:rsidRDefault="002746BC">
          <w:pPr>
            <w:pStyle w:val="30"/>
            <w:rPr>
              <w:noProof/>
            </w:rPr>
          </w:pPr>
          <w:hyperlink w:anchor="_Toc12864265" w:history="1">
            <w:r w:rsidRPr="00E5579B">
              <w:rPr>
                <w:rStyle w:val="a7"/>
                <w:rFonts w:hint="eastAsia"/>
                <w:noProof/>
              </w:rPr>
              <w:t>国家发展改革委关于加快美丽特色小（城）镇建设的指导意见（发改规划〔</w:t>
            </w:r>
            <w:r w:rsidRPr="00E5579B">
              <w:rPr>
                <w:rStyle w:val="a7"/>
                <w:noProof/>
              </w:rPr>
              <w:t>2016</w:t>
            </w:r>
            <w:r w:rsidRPr="00E5579B">
              <w:rPr>
                <w:rStyle w:val="a7"/>
                <w:rFonts w:hint="eastAsia"/>
                <w:noProof/>
              </w:rPr>
              <w:t>〕</w:t>
            </w:r>
            <w:r w:rsidRPr="00E5579B">
              <w:rPr>
                <w:rStyle w:val="a7"/>
                <w:noProof/>
              </w:rPr>
              <w:t>2125</w:t>
            </w:r>
            <w:r w:rsidRPr="00E5579B">
              <w:rPr>
                <w:rStyle w:val="a7"/>
                <w:rFonts w:hint="eastAsia"/>
                <w:noProof/>
              </w:rPr>
              <w:t>号）</w:t>
            </w:r>
            <w:r>
              <w:rPr>
                <w:noProof/>
                <w:webHidden/>
              </w:rPr>
              <w:tab/>
            </w:r>
            <w:r>
              <w:rPr>
                <w:noProof/>
                <w:webHidden/>
              </w:rPr>
              <w:fldChar w:fldCharType="begin"/>
            </w:r>
            <w:r>
              <w:rPr>
                <w:noProof/>
                <w:webHidden/>
              </w:rPr>
              <w:instrText xml:space="preserve"> PAGEREF _Toc12864265 \h </w:instrText>
            </w:r>
            <w:r>
              <w:rPr>
                <w:noProof/>
                <w:webHidden/>
              </w:rPr>
            </w:r>
            <w:r>
              <w:rPr>
                <w:noProof/>
                <w:webHidden/>
              </w:rPr>
              <w:fldChar w:fldCharType="separate"/>
            </w:r>
            <w:r w:rsidR="000958AB">
              <w:rPr>
                <w:noProof/>
                <w:webHidden/>
              </w:rPr>
              <w:t>660</w:t>
            </w:r>
            <w:r>
              <w:rPr>
                <w:noProof/>
                <w:webHidden/>
              </w:rPr>
              <w:fldChar w:fldCharType="end"/>
            </w:r>
          </w:hyperlink>
        </w:p>
        <w:p w:rsidR="002746BC" w:rsidRDefault="002746BC">
          <w:pPr>
            <w:pStyle w:val="30"/>
            <w:rPr>
              <w:noProof/>
            </w:rPr>
          </w:pPr>
          <w:hyperlink w:anchor="_Toc12864266" w:history="1">
            <w:r w:rsidRPr="00E5579B">
              <w:rPr>
                <w:rStyle w:val="a7"/>
                <w:rFonts w:hint="eastAsia"/>
                <w:noProof/>
              </w:rPr>
              <w:t>住房城乡建设部办公厅关于开展</w:t>
            </w:r>
            <w:r w:rsidRPr="00E5579B">
              <w:rPr>
                <w:rStyle w:val="a7"/>
                <w:noProof/>
              </w:rPr>
              <w:t>2016</w:t>
            </w:r>
            <w:r w:rsidRPr="00E5579B">
              <w:rPr>
                <w:rStyle w:val="a7"/>
                <w:rFonts w:hint="eastAsia"/>
                <w:noProof/>
              </w:rPr>
              <w:t>年美丽宜居小镇、美丽宜居村庄示范工作的通知（建办村函〔</w:t>
            </w:r>
            <w:r w:rsidRPr="00E5579B">
              <w:rPr>
                <w:rStyle w:val="a7"/>
                <w:noProof/>
              </w:rPr>
              <w:t>2016</w:t>
            </w:r>
            <w:r w:rsidRPr="00E5579B">
              <w:rPr>
                <w:rStyle w:val="a7"/>
                <w:rFonts w:hint="eastAsia"/>
                <w:noProof/>
              </w:rPr>
              <w:t>〕</w:t>
            </w:r>
            <w:r w:rsidRPr="00E5579B">
              <w:rPr>
                <w:rStyle w:val="a7"/>
                <w:noProof/>
              </w:rPr>
              <w:t>827</w:t>
            </w:r>
            <w:r w:rsidRPr="00E5579B">
              <w:rPr>
                <w:rStyle w:val="a7"/>
                <w:rFonts w:hint="eastAsia"/>
                <w:noProof/>
              </w:rPr>
              <w:t>号）</w:t>
            </w:r>
            <w:r>
              <w:rPr>
                <w:noProof/>
                <w:webHidden/>
              </w:rPr>
              <w:tab/>
            </w:r>
            <w:r>
              <w:rPr>
                <w:noProof/>
                <w:webHidden/>
              </w:rPr>
              <w:fldChar w:fldCharType="begin"/>
            </w:r>
            <w:r>
              <w:rPr>
                <w:noProof/>
                <w:webHidden/>
              </w:rPr>
              <w:instrText xml:space="preserve"> PAGEREF _Toc12864266 \h </w:instrText>
            </w:r>
            <w:r>
              <w:rPr>
                <w:noProof/>
                <w:webHidden/>
              </w:rPr>
            </w:r>
            <w:r>
              <w:rPr>
                <w:noProof/>
                <w:webHidden/>
              </w:rPr>
              <w:fldChar w:fldCharType="separate"/>
            </w:r>
            <w:r w:rsidR="000958AB">
              <w:rPr>
                <w:noProof/>
                <w:webHidden/>
              </w:rPr>
              <w:t>668</w:t>
            </w:r>
            <w:r>
              <w:rPr>
                <w:noProof/>
                <w:webHidden/>
              </w:rPr>
              <w:fldChar w:fldCharType="end"/>
            </w:r>
          </w:hyperlink>
        </w:p>
        <w:p w:rsidR="002746BC" w:rsidRDefault="002746BC">
          <w:pPr>
            <w:pStyle w:val="30"/>
            <w:rPr>
              <w:noProof/>
            </w:rPr>
          </w:pPr>
          <w:hyperlink w:anchor="_Toc12864267" w:history="1">
            <w:r w:rsidRPr="00E5579B">
              <w:rPr>
                <w:rStyle w:val="a7"/>
                <w:rFonts w:hint="eastAsia"/>
                <w:noProof/>
              </w:rPr>
              <w:t>住房城乡建设部</w:t>
            </w:r>
            <w:r w:rsidRPr="00E5579B">
              <w:rPr>
                <w:rStyle w:val="a7"/>
                <w:noProof/>
              </w:rPr>
              <w:t xml:space="preserve"> </w:t>
            </w:r>
            <w:r w:rsidRPr="00E5579B">
              <w:rPr>
                <w:rStyle w:val="a7"/>
                <w:rFonts w:hint="eastAsia"/>
                <w:noProof/>
              </w:rPr>
              <w:t>国家发展改革委</w:t>
            </w:r>
            <w:r w:rsidRPr="00E5579B">
              <w:rPr>
                <w:rStyle w:val="a7"/>
                <w:noProof/>
              </w:rPr>
              <w:t xml:space="preserve"> </w:t>
            </w:r>
            <w:r w:rsidRPr="00E5579B">
              <w:rPr>
                <w:rStyle w:val="a7"/>
                <w:rFonts w:hint="eastAsia"/>
                <w:noProof/>
              </w:rPr>
              <w:t>财政部关于开展特色小镇培育工作的通知（建村〔</w:t>
            </w:r>
            <w:r w:rsidRPr="00E5579B">
              <w:rPr>
                <w:rStyle w:val="a7"/>
                <w:noProof/>
              </w:rPr>
              <w:t>2016</w:t>
            </w:r>
            <w:r w:rsidRPr="00E5579B">
              <w:rPr>
                <w:rStyle w:val="a7"/>
                <w:rFonts w:hint="eastAsia"/>
                <w:noProof/>
              </w:rPr>
              <w:t>〕</w:t>
            </w:r>
            <w:r w:rsidRPr="00E5579B">
              <w:rPr>
                <w:rStyle w:val="a7"/>
                <w:noProof/>
              </w:rPr>
              <w:t>147</w:t>
            </w:r>
            <w:r w:rsidRPr="00E5579B">
              <w:rPr>
                <w:rStyle w:val="a7"/>
                <w:rFonts w:hint="eastAsia"/>
                <w:noProof/>
              </w:rPr>
              <w:t>号）</w:t>
            </w:r>
            <w:r>
              <w:rPr>
                <w:noProof/>
                <w:webHidden/>
              </w:rPr>
              <w:tab/>
            </w:r>
            <w:r>
              <w:rPr>
                <w:noProof/>
                <w:webHidden/>
              </w:rPr>
              <w:fldChar w:fldCharType="begin"/>
            </w:r>
            <w:r>
              <w:rPr>
                <w:noProof/>
                <w:webHidden/>
              </w:rPr>
              <w:instrText xml:space="preserve"> PAGEREF _Toc12864267 \h </w:instrText>
            </w:r>
            <w:r>
              <w:rPr>
                <w:noProof/>
                <w:webHidden/>
              </w:rPr>
            </w:r>
            <w:r>
              <w:rPr>
                <w:noProof/>
                <w:webHidden/>
              </w:rPr>
              <w:fldChar w:fldCharType="separate"/>
            </w:r>
            <w:r w:rsidR="000958AB">
              <w:rPr>
                <w:noProof/>
                <w:webHidden/>
              </w:rPr>
              <w:t>671</w:t>
            </w:r>
            <w:r>
              <w:rPr>
                <w:noProof/>
                <w:webHidden/>
              </w:rPr>
              <w:fldChar w:fldCharType="end"/>
            </w:r>
          </w:hyperlink>
        </w:p>
        <w:p w:rsidR="002746BC" w:rsidRDefault="002746BC">
          <w:pPr>
            <w:pStyle w:val="30"/>
            <w:rPr>
              <w:noProof/>
            </w:rPr>
          </w:pPr>
          <w:hyperlink w:anchor="_Toc12864268" w:history="1">
            <w:r w:rsidRPr="00E5579B">
              <w:rPr>
                <w:rStyle w:val="a7"/>
                <w:rFonts w:hint="eastAsia"/>
                <w:noProof/>
              </w:rPr>
              <w:t>国务院关于深入推进新型城镇化建设的若干意见（国发〔</w:t>
            </w:r>
            <w:r w:rsidRPr="00E5579B">
              <w:rPr>
                <w:rStyle w:val="a7"/>
                <w:noProof/>
              </w:rPr>
              <w:t>2016</w:t>
            </w:r>
            <w:r w:rsidRPr="00E5579B">
              <w:rPr>
                <w:rStyle w:val="a7"/>
                <w:rFonts w:hint="eastAsia"/>
                <w:noProof/>
              </w:rPr>
              <w:t>〕</w:t>
            </w:r>
            <w:r w:rsidRPr="00E5579B">
              <w:rPr>
                <w:rStyle w:val="a7"/>
                <w:noProof/>
              </w:rPr>
              <w:t>8</w:t>
            </w:r>
            <w:r w:rsidRPr="00E5579B">
              <w:rPr>
                <w:rStyle w:val="a7"/>
                <w:rFonts w:hint="eastAsia"/>
                <w:noProof/>
              </w:rPr>
              <w:t>号）</w:t>
            </w:r>
            <w:r>
              <w:rPr>
                <w:noProof/>
                <w:webHidden/>
              </w:rPr>
              <w:tab/>
            </w:r>
            <w:r>
              <w:rPr>
                <w:noProof/>
                <w:webHidden/>
              </w:rPr>
              <w:fldChar w:fldCharType="begin"/>
            </w:r>
            <w:r>
              <w:rPr>
                <w:noProof/>
                <w:webHidden/>
              </w:rPr>
              <w:instrText xml:space="preserve"> PAGEREF _Toc12864268 \h </w:instrText>
            </w:r>
            <w:r>
              <w:rPr>
                <w:noProof/>
                <w:webHidden/>
              </w:rPr>
            </w:r>
            <w:r>
              <w:rPr>
                <w:noProof/>
                <w:webHidden/>
              </w:rPr>
              <w:fldChar w:fldCharType="separate"/>
            </w:r>
            <w:r w:rsidR="000958AB">
              <w:rPr>
                <w:noProof/>
                <w:webHidden/>
              </w:rPr>
              <w:t>675</w:t>
            </w:r>
            <w:r>
              <w:rPr>
                <w:noProof/>
                <w:webHidden/>
              </w:rPr>
              <w:fldChar w:fldCharType="end"/>
            </w:r>
          </w:hyperlink>
        </w:p>
        <w:p w:rsidR="002746BC" w:rsidRDefault="002746BC">
          <w:pPr>
            <w:pStyle w:val="20"/>
            <w:tabs>
              <w:tab w:val="right" w:leader="dot" w:pos="8296"/>
            </w:tabs>
            <w:rPr>
              <w:noProof/>
            </w:rPr>
          </w:pPr>
          <w:hyperlink w:anchor="_Toc12864269" w:history="1">
            <w:r w:rsidRPr="00E5579B">
              <w:rPr>
                <w:rStyle w:val="a7"/>
                <w:noProof/>
              </w:rPr>
              <w:t>3</w:t>
            </w:r>
            <w:r w:rsidRPr="00E5579B">
              <w:rPr>
                <w:rStyle w:val="a7"/>
                <w:rFonts w:hint="eastAsia"/>
                <w:noProof/>
              </w:rPr>
              <w:t>、农村基础设施及农业</w:t>
            </w:r>
            <w:r>
              <w:rPr>
                <w:noProof/>
                <w:webHidden/>
              </w:rPr>
              <w:tab/>
            </w:r>
            <w:r>
              <w:rPr>
                <w:noProof/>
                <w:webHidden/>
              </w:rPr>
              <w:fldChar w:fldCharType="begin"/>
            </w:r>
            <w:r>
              <w:rPr>
                <w:noProof/>
                <w:webHidden/>
              </w:rPr>
              <w:instrText xml:space="preserve"> PAGEREF _Toc12864269 \h </w:instrText>
            </w:r>
            <w:r>
              <w:rPr>
                <w:noProof/>
                <w:webHidden/>
              </w:rPr>
            </w:r>
            <w:r>
              <w:rPr>
                <w:noProof/>
                <w:webHidden/>
              </w:rPr>
              <w:fldChar w:fldCharType="separate"/>
            </w:r>
            <w:r w:rsidR="000958AB">
              <w:rPr>
                <w:noProof/>
                <w:webHidden/>
              </w:rPr>
              <w:t>689</w:t>
            </w:r>
            <w:r>
              <w:rPr>
                <w:noProof/>
                <w:webHidden/>
              </w:rPr>
              <w:fldChar w:fldCharType="end"/>
            </w:r>
          </w:hyperlink>
        </w:p>
        <w:p w:rsidR="002746BC" w:rsidRDefault="002746BC">
          <w:pPr>
            <w:pStyle w:val="30"/>
            <w:rPr>
              <w:noProof/>
            </w:rPr>
          </w:pPr>
          <w:hyperlink w:anchor="_Toc12864270" w:history="1">
            <w:r w:rsidRPr="00E5579B">
              <w:rPr>
                <w:rStyle w:val="a7"/>
                <w:rFonts w:hint="eastAsia"/>
                <w:noProof/>
              </w:rPr>
              <w:t>国家发展改革委办公厅关于开展第二批国家农村产业融合发展示范园创建工作的通知（发改办农经〔</w:t>
            </w:r>
            <w:r w:rsidRPr="00E5579B">
              <w:rPr>
                <w:rStyle w:val="a7"/>
                <w:noProof/>
              </w:rPr>
              <w:t>2019</w:t>
            </w:r>
            <w:r w:rsidRPr="00E5579B">
              <w:rPr>
                <w:rStyle w:val="a7"/>
                <w:rFonts w:hint="eastAsia"/>
                <w:noProof/>
              </w:rPr>
              <w:t>〕</w:t>
            </w:r>
            <w:r w:rsidRPr="00E5579B">
              <w:rPr>
                <w:rStyle w:val="a7"/>
                <w:noProof/>
              </w:rPr>
              <w:t>334</w:t>
            </w:r>
            <w:r w:rsidRPr="00E5579B">
              <w:rPr>
                <w:rStyle w:val="a7"/>
                <w:rFonts w:hint="eastAsia"/>
                <w:noProof/>
              </w:rPr>
              <w:t>号）</w:t>
            </w:r>
            <w:r>
              <w:rPr>
                <w:noProof/>
                <w:webHidden/>
              </w:rPr>
              <w:tab/>
            </w:r>
            <w:r>
              <w:rPr>
                <w:noProof/>
                <w:webHidden/>
              </w:rPr>
              <w:fldChar w:fldCharType="begin"/>
            </w:r>
            <w:r>
              <w:rPr>
                <w:noProof/>
                <w:webHidden/>
              </w:rPr>
              <w:instrText xml:space="preserve"> PAGEREF _Toc12864270 \h </w:instrText>
            </w:r>
            <w:r>
              <w:rPr>
                <w:noProof/>
                <w:webHidden/>
              </w:rPr>
            </w:r>
            <w:r>
              <w:rPr>
                <w:noProof/>
                <w:webHidden/>
              </w:rPr>
              <w:fldChar w:fldCharType="separate"/>
            </w:r>
            <w:r w:rsidR="000958AB">
              <w:rPr>
                <w:noProof/>
                <w:webHidden/>
              </w:rPr>
              <w:t>690</w:t>
            </w:r>
            <w:r>
              <w:rPr>
                <w:noProof/>
                <w:webHidden/>
              </w:rPr>
              <w:fldChar w:fldCharType="end"/>
            </w:r>
          </w:hyperlink>
        </w:p>
        <w:p w:rsidR="002746BC" w:rsidRDefault="002746BC">
          <w:pPr>
            <w:pStyle w:val="30"/>
            <w:rPr>
              <w:noProof/>
            </w:rPr>
          </w:pPr>
          <w:hyperlink w:anchor="_Toc12864271" w:history="1">
            <w:r w:rsidRPr="00E5579B">
              <w:rPr>
                <w:rStyle w:val="a7"/>
                <w:rFonts w:hint="eastAsia"/>
                <w:noProof/>
              </w:rPr>
              <w:t>农业农村部等六部委关于开展土地经营权入股发展农业产业化经营试点的指导意见（农产发〔</w:t>
            </w:r>
            <w:r w:rsidRPr="00E5579B">
              <w:rPr>
                <w:rStyle w:val="a7"/>
                <w:noProof/>
              </w:rPr>
              <w:t>2018</w:t>
            </w:r>
            <w:r w:rsidRPr="00E5579B">
              <w:rPr>
                <w:rStyle w:val="a7"/>
                <w:rFonts w:hint="eastAsia"/>
                <w:noProof/>
              </w:rPr>
              <w:t>〕</w:t>
            </w:r>
            <w:r w:rsidRPr="00E5579B">
              <w:rPr>
                <w:rStyle w:val="a7"/>
                <w:noProof/>
              </w:rPr>
              <w:t>4</w:t>
            </w:r>
            <w:r w:rsidRPr="00E5579B">
              <w:rPr>
                <w:rStyle w:val="a7"/>
                <w:rFonts w:hint="eastAsia"/>
                <w:noProof/>
              </w:rPr>
              <w:t>号）</w:t>
            </w:r>
            <w:r>
              <w:rPr>
                <w:noProof/>
                <w:webHidden/>
              </w:rPr>
              <w:tab/>
            </w:r>
            <w:r>
              <w:rPr>
                <w:noProof/>
                <w:webHidden/>
              </w:rPr>
              <w:fldChar w:fldCharType="begin"/>
            </w:r>
            <w:r>
              <w:rPr>
                <w:noProof/>
                <w:webHidden/>
              </w:rPr>
              <w:instrText xml:space="preserve"> PAGEREF _Toc12864271 \h </w:instrText>
            </w:r>
            <w:r>
              <w:rPr>
                <w:noProof/>
                <w:webHidden/>
              </w:rPr>
            </w:r>
            <w:r>
              <w:rPr>
                <w:noProof/>
                <w:webHidden/>
              </w:rPr>
              <w:fldChar w:fldCharType="separate"/>
            </w:r>
            <w:r w:rsidR="000958AB">
              <w:rPr>
                <w:noProof/>
                <w:webHidden/>
              </w:rPr>
              <w:t>699</w:t>
            </w:r>
            <w:r>
              <w:rPr>
                <w:noProof/>
                <w:webHidden/>
              </w:rPr>
              <w:fldChar w:fldCharType="end"/>
            </w:r>
          </w:hyperlink>
        </w:p>
        <w:p w:rsidR="002746BC" w:rsidRDefault="002746BC">
          <w:pPr>
            <w:pStyle w:val="30"/>
            <w:rPr>
              <w:noProof/>
            </w:rPr>
          </w:pPr>
          <w:hyperlink w:anchor="_Toc12864272" w:history="1">
            <w:r w:rsidRPr="00E5579B">
              <w:rPr>
                <w:rStyle w:val="a7"/>
                <w:rFonts w:hint="eastAsia"/>
                <w:noProof/>
              </w:rPr>
              <w:t>农业农村部</w:t>
            </w:r>
            <w:r w:rsidRPr="00E5579B">
              <w:rPr>
                <w:rStyle w:val="a7"/>
                <w:noProof/>
              </w:rPr>
              <w:t xml:space="preserve"> </w:t>
            </w:r>
            <w:r w:rsidRPr="00E5579B">
              <w:rPr>
                <w:rStyle w:val="a7"/>
                <w:rFonts w:hint="eastAsia"/>
                <w:noProof/>
              </w:rPr>
              <w:t>财政部关于实施绿色循环优质高效特色农业促进项目的通知（农财发〔</w:t>
            </w:r>
            <w:r w:rsidRPr="00E5579B">
              <w:rPr>
                <w:rStyle w:val="a7"/>
                <w:noProof/>
              </w:rPr>
              <w:t>2018</w:t>
            </w:r>
            <w:r w:rsidRPr="00E5579B">
              <w:rPr>
                <w:rStyle w:val="a7"/>
                <w:rFonts w:hint="eastAsia"/>
                <w:noProof/>
              </w:rPr>
              <w:t>〕</w:t>
            </w:r>
            <w:r w:rsidRPr="00E5579B">
              <w:rPr>
                <w:rStyle w:val="a7"/>
                <w:noProof/>
              </w:rPr>
              <w:t>22</w:t>
            </w:r>
            <w:r w:rsidRPr="00E5579B">
              <w:rPr>
                <w:rStyle w:val="a7"/>
                <w:rFonts w:hint="eastAsia"/>
                <w:noProof/>
              </w:rPr>
              <w:t>号）</w:t>
            </w:r>
            <w:r>
              <w:rPr>
                <w:noProof/>
                <w:webHidden/>
              </w:rPr>
              <w:tab/>
            </w:r>
            <w:r>
              <w:rPr>
                <w:noProof/>
                <w:webHidden/>
              </w:rPr>
              <w:fldChar w:fldCharType="begin"/>
            </w:r>
            <w:r>
              <w:rPr>
                <w:noProof/>
                <w:webHidden/>
              </w:rPr>
              <w:instrText xml:space="preserve"> PAGEREF _Toc12864272 \h </w:instrText>
            </w:r>
            <w:r>
              <w:rPr>
                <w:noProof/>
                <w:webHidden/>
              </w:rPr>
            </w:r>
            <w:r>
              <w:rPr>
                <w:noProof/>
                <w:webHidden/>
              </w:rPr>
              <w:fldChar w:fldCharType="separate"/>
            </w:r>
            <w:r w:rsidR="000958AB">
              <w:rPr>
                <w:noProof/>
                <w:webHidden/>
              </w:rPr>
              <w:t>706</w:t>
            </w:r>
            <w:r>
              <w:rPr>
                <w:noProof/>
                <w:webHidden/>
              </w:rPr>
              <w:fldChar w:fldCharType="end"/>
            </w:r>
          </w:hyperlink>
        </w:p>
        <w:p w:rsidR="002746BC" w:rsidRDefault="002746BC">
          <w:pPr>
            <w:pStyle w:val="30"/>
            <w:rPr>
              <w:noProof/>
            </w:rPr>
          </w:pPr>
          <w:hyperlink w:anchor="_Toc12864273" w:history="1">
            <w:r w:rsidRPr="00E5579B">
              <w:rPr>
                <w:rStyle w:val="a7"/>
                <w:rFonts w:hint="eastAsia"/>
                <w:noProof/>
              </w:rPr>
              <w:t>中共中央</w:t>
            </w:r>
            <w:r w:rsidRPr="00E5579B">
              <w:rPr>
                <w:rStyle w:val="a7"/>
                <w:noProof/>
              </w:rPr>
              <w:t xml:space="preserve"> </w:t>
            </w:r>
            <w:r w:rsidRPr="00E5579B">
              <w:rPr>
                <w:rStyle w:val="a7"/>
                <w:rFonts w:hint="eastAsia"/>
                <w:noProof/>
              </w:rPr>
              <w:t>国务院关于深入推进农业供给侧结构性改革加快培育农业农村发展新动能的若干意见（中发〔</w:t>
            </w:r>
            <w:r w:rsidRPr="00E5579B">
              <w:rPr>
                <w:rStyle w:val="a7"/>
                <w:noProof/>
              </w:rPr>
              <w:t>2017</w:t>
            </w:r>
            <w:r w:rsidRPr="00E5579B">
              <w:rPr>
                <w:rStyle w:val="a7"/>
                <w:rFonts w:hint="eastAsia"/>
                <w:noProof/>
              </w:rPr>
              <w:t>〕</w:t>
            </w:r>
            <w:r w:rsidRPr="00E5579B">
              <w:rPr>
                <w:rStyle w:val="a7"/>
                <w:noProof/>
              </w:rPr>
              <w:t>1</w:t>
            </w:r>
            <w:r w:rsidRPr="00E5579B">
              <w:rPr>
                <w:rStyle w:val="a7"/>
                <w:rFonts w:hint="eastAsia"/>
                <w:noProof/>
              </w:rPr>
              <w:t>号）</w:t>
            </w:r>
            <w:r>
              <w:rPr>
                <w:noProof/>
                <w:webHidden/>
              </w:rPr>
              <w:tab/>
            </w:r>
            <w:r>
              <w:rPr>
                <w:noProof/>
                <w:webHidden/>
              </w:rPr>
              <w:fldChar w:fldCharType="begin"/>
            </w:r>
            <w:r>
              <w:rPr>
                <w:noProof/>
                <w:webHidden/>
              </w:rPr>
              <w:instrText xml:space="preserve"> PAGEREF _Toc12864273 \h </w:instrText>
            </w:r>
            <w:r>
              <w:rPr>
                <w:noProof/>
                <w:webHidden/>
              </w:rPr>
            </w:r>
            <w:r>
              <w:rPr>
                <w:noProof/>
                <w:webHidden/>
              </w:rPr>
              <w:fldChar w:fldCharType="separate"/>
            </w:r>
            <w:r w:rsidR="000958AB">
              <w:rPr>
                <w:noProof/>
                <w:webHidden/>
              </w:rPr>
              <w:t>714</w:t>
            </w:r>
            <w:r>
              <w:rPr>
                <w:noProof/>
                <w:webHidden/>
              </w:rPr>
              <w:fldChar w:fldCharType="end"/>
            </w:r>
          </w:hyperlink>
        </w:p>
        <w:p w:rsidR="002746BC" w:rsidRDefault="002746BC">
          <w:pPr>
            <w:pStyle w:val="30"/>
            <w:rPr>
              <w:noProof/>
            </w:rPr>
          </w:pPr>
          <w:hyperlink w:anchor="_Toc12864274" w:history="1">
            <w:r w:rsidRPr="00E5579B">
              <w:rPr>
                <w:rStyle w:val="a7"/>
                <w:rFonts w:hint="eastAsia"/>
                <w:noProof/>
              </w:rPr>
              <w:t>中共中央办公厅</w:t>
            </w:r>
            <w:r w:rsidRPr="00E5579B">
              <w:rPr>
                <w:rStyle w:val="a7"/>
                <w:noProof/>
              </w:rPr>
              <w:t xml:space="preserve"> </w:t>
            </w:r>
            <w:r w:rsidRPr="00E5579B">
              <w:rPr>
                <w:rStyle w:val="a7"/>
                <w:rFonts w:hint="eastAsia"/>
                <w:noProof/>
              </w:rPr>
              <w:t>国务院办公厅印发《关于创新体制机制推进农业绿色发展的意见》</w:t>
            </w:r>
            <w:r>
              <w:rPr>
                <w:noProof/>
                <w:webHidden/>
              </w:rPr>
              <w:tab/>
            </w:r>
            <w:r>
              <w:rPr>
                <w:noProof/>
                <w:webHidden/>
              </w:rPr>
              <w:fldChar w:fldCharType="begin"/>
            </w:r>
            <w:r>
              <w:rPr>
                <w:noProof/>
                <w:webHidden/>
              </w:rPr>
              <w:instrText xml:space="preserve"> PAGEREF _Toc12864274 \h </w:instrText>
            </w:r>
            <w:r>
              <w:rPr>
                <w:noProof/>
                <w:webHidden/>
              </w:rPr>
            </w:r>
            <w:r>
              <w:rPr>
                <w:noProof/>
                <w:webHidden/>
              </w:rPr>
              <w:fldChar w:fldCharType="separate"/>
            </w:r>
            <w:r w:rsidR="000958AB">
              <w:rPr>
                <w:noProof/>
                <w:webHidden/>
              </w:rPr>
              <w:t>734</w:t>
            </w:r>
            <w:r>
              <w:rPr>
                <w:noProof/>
                <w:webHidden/>
              </w:rPr>
              <w:fldChar w:fldCharType="end"/>
            </w:r>
          </w:hyperlink>
        </w:p>
        <w:p w:rsidR="002746BC" w:rsidRDefault="002746BC">
          <w:pPr>
            <w:pStyle w:val="30"/>
            <w:rPr>
              <w:noProof/>
            </w:rPr>
          </w:pPr>
          <w:hyperlink w:anchor="_Toc12864275" w:history="1">
            <w:r w:rsidRPr="00E5579B">
              <w:rPr>
                <w:rStyle w:val="a7"/>
                <w:rFonts w:hint="eastAsia"/>
                <w:noProof/>
              </w:rPr>
              <w:t>中共中央办公厅</w:t>
            </w:r>
            <w:r w:rsidRPr="00E5579B">
              <w:rPr>
                <w:rStyle w:val="a7"/>
                <w:noProof/>
              </w:rPr>
              <w:t xml:space="preserve"> </w:t>
            </w:r>
            <w:r w:rsidRPr="00E5579B">
              <w:rPr>
                <w:rStyle w:val="a7"/>
                <w:rFonts w:hint="eastAsia"/>
                <w:noProof/>
              </w:rPr>
              <w:t>国务院办公厅印发《关于加快构建政策体系培育新型农业经营主体的意见》</w:t>
            </w:r>
            <w:r>
              <w:rPr>
                <w:noProof/>
                <w:webHidden/>
              </w:rPr>
              <w:tab/>
            </w:r>
            <w:r>
              <w:rPr>
                <w:noProof/>
                <w:webHidden/>
              </w:rPr>
              <w:fldChar w:fldCharType="begin"/>
            </w:r>
            <w:r>
              <w:rPr>
                <w:noProof/>
                <w:webHidden/>
              </w:rPr>
              <w:instrText xml:space="preserve"> PAGEREF _Toc12864275 \h </w:instrText>
            </w:r>
            <w:r>
              <w:rPr>
                <w:noProof/>
                <w:webHidden/>
              </w:rPr>
            </w:r>
            <w:r>
              <w:rPr>
                <w:noProof/>
                <w:webHidden/>
              </w:rPr>
              <w:fldChar w:fldCharType="separate"/>
            </w:r>
            <w:r w:rsidR="000958AB">
              <w:rPr>
                <w:noProof/>
                <w:webHidden/>
              </w:rPr>
              <w:t>746</w:t>
            </w:r>
            <w:r>
              <w:rPr>
                <w:noProof/>
                <w:webHidden/>
              </w:rPr>
              <w:fldChar w:fldCharType="end"/>
            </w:r>
          </w:hyperlink>
        </w:p>
        <w:p w:rsidR="002746BC" w:rsidRDefault="002746BC">
          <w:pPr>
            <w:pStyle w:val="30"/>
            <w:rPr>
              <w:noProof/>
            </w:rPr>
          </w:pPr>
          <w:hyperlink w:anchor="_Toc12864276" w:history="1">
            <w:r w:rsidRPr="00E5579B">
              <w:rPr>
                <w:rStyle w:val="a7"/>
                <w:rFonts w:hint="eastAsia"/>
                <w:noProof/>
              </w:rPr>
              <w:t>关于做好</w:t>
            </w:r>
            <w:r w:rsidRPr="00E5579B">
              <w:rPr>
                <w:rStyle w:val="a7"/>
                <w:noProof/>
              </w:rPr>
              <w:t>2017</w:t>
            </w:r>
            <w:r w:rsidRPr="00E5579B">
              <w:rPr>
                <w:rStyle w:val="a7"/>
                <w:rFonts w:hint="eastAsia"/>
                <w:noProof/>
              </w:rPr>
              <w:t>年田园综合体试点工作的意见（财办农〔</w:t>
            </w:r>
            <w:r w:rsidRPr="00E5579B">
              <w:rPr>
                <w:rStyle w:val="a7"/>
                <w:noProof/>
              </w:rPr>
              <w:t>2017</w:t>
            </w:r>
            <w:r w:rsidRPr="00E5579B">
              <w:rPr>
                <w:rStyle w:val="a7"/>
                <w:rFonts w:hint="eastAsia"/>
                <w:noProof/>
              </w:rPr>
              <w:t>〕</w:t>
            </w:r>
            <w:r w:rsidRPr="00E5579B">
              <w:rPr>
                <w:rStyle w:val="a7"/>
                <w:noProof/>
              </w:rPr>
              <w:t>71</w:t>
            </w:r>
            <w:r w:rsidRPr="00E5579B">
              <w:rPr>
                <w:rStyle w:val="a7"/>
                <w:rFonts w:hint="eastAsia"/>
                <w:noProof/>
              </w:rPr>
              <w:t>号）</w:t>
            </w:r>
            <w:r>
              <w:rPr>
                <w:noProof/>
                <w:webHidden/>
              </w:rPr>
              <w:tab/>
            </w:r>
            <w:r>
              <w:rPr>
                <w:noProof/>
                <w:webHidden/>
              </w:rPr>
              <w:fldChar w:fldCharType="begin"/>
            </w:r>
            <w:r>
              <w:rPr>
                <w:noProof/>
                <w:webHidden/>
              </w:rPr>
              <w:instrText xml:space="preserve"> PAGEREF _Toc12864276 \h </w:instrText>
            </w:r>
            <w:r>
              <w:rPr>
                <w:noProof/>
                <w:webHidden/>
              </w:rPr>
            </w:r>
            <w:r>
              <w:rPr>
                <w:noProof/>
                <w:webHidden/>
              </w:rPr>
              <w:fldChar w:fldCharType="separate"/>
            </w:r>
            <w:r w:rsidR="000958AB">
              <w:rPr>
                <w:noProof/>
                <w:webHidden/>
              </w:rPr>
              <w:t>756</w:t>
            </w:r>
            <w:r>
              <w:rPr>
                <w:noProof/>
                <w:webHidden/>
              </w:rPr>
              <w:fldChar w:fldCharType="end"/>
            </w:r>
          </w:hyperlink>
        </w:p>
        <w:p w:rsidR="002746BC" w:rsidRDefault="002746BC">
          <w:pPr>
            <w:pStyle w:val="30"/>
            <w:rPr>
              <w:noProof/>
            </w:rPr>
          </w:pPr>
          <w:hyperlink w:anchor="_Toc12864277" w:history="1">
            <w:r w:rsidRPr="00E5579B">
              <w:rPr>
                <w:rStyle w:val="a7"/>
                <w:rFonts w:hint="eastAsia"/>
                <w:noProof/>
              </w:rPr>
              <w:t>财政部</w:t>
            </w:r>
            <w:r w:rsidRPr="00E5579B">
              <w:rPr>
                <w:rStyle w:val="a7"/>
                <w:noProof/>
              </w:rPr>
              <w:t xml:space="preserve"> </w:t>
            </w:r>
            <w:r w:rsidRPr="00E5579B">
              <w:rPr>
                <w:rStyle w:val="a7"/>
                <w:rFonts w:hint="eastAsia"/>
                <w:noProof/>
              </w:rPr>
              <w:t>农业部关于深入推进农业领域政府和社会资本合作的实施意见（财金〔</w:t>
            </w:r>
            <w:r w:rsidRPr="00E5579B">
              <w:rPr>
                <w:rStyle w:val="a7"/>
                <w:noProof/>
              </w:rPr>
              <w:t>2017</w:t>
            </w:r>
            <w:r w:rsidRPr="00E5579B">
              <w:rPr>
                <w:rStyle w:val="a7"/>
                <w:rFonts w:hint="eastAsia"/>
                <w:noProof/>
              </w:rPr>
              <w:t>〕</w:t>
            </w:r>
            <w:r w:rsidRPr="00E5579B">
              <w:rPr>
                <w:rStyle w:val="a7"/>
                <w:noProof/>
              </w:rPr>
              <w:t>50</w:t>
            </w:r>
            <w:r w:rsidRPr="00E5579B">
              <w:rPr>
                <w:rStyle w:val="a7"/>
                <w:rFonts w:hint="eastAsia"/>
                <w:noProof/>
              </w:rPr>
              <w:t>号）</w:t>
            </w:r>
            <w:r>
              <w:rPr>
                <w:noProof/>
                <w:webHidden/>
              </w:rPr>
              <w:tab/>
            </w:r>
            <w:r>
              <w:rPr>
                <w:noProof/>
                <w:webHidden/>
              </w:rPr>
              <w:fldChar w:fldCharType="begin"/>
            </w:r>
            <w:r>
              <w:rPr>
                <w:noProof/>
                <w:webHidden/>
              </w:rPr>
              <w:instrText xml:space="preserve"> PAGEREF _Toc12864277 \h </w:instrText>
            </w:r>
            <w:r>
              <w:rPr>
                <w:noProof/>
                <w:webHidden/>
              </w:rPr>
            </w:r>
            <w:r>
              <w:rPr>
                <w:noProof/>
                <w:webHidden/>
              </w:rPr>
              <w:fldChar w:fldCharType="separate"/>
            </w:r>
            <w:r w:rsidR="000958AB">
              <w:rPr>
                <w:noProof/>
                <w:webHidden/>
              </w:rPr>
              <w:t>761</w:t>
            </w:r>
            <w:r>
              <w:rPr>
                <w:noProof/>
                <w:webHidden/>
              </w:rPr>
              <w:fldChar w:fldCharType="end"/>
            </w:r>
          </w:hyperlink>
        </w:p>
        <w:p w:rsidR="002746BC" w:rsidRDefault="002746BC">
          <w:pPr>
            <w:pStyle w:val="30"/>
            <w:rPr>
              <w:noProof/>
            </w:rPr>
          </w:pPr>
          <w:hyperlink w:anchor="_Toc12864278" w:history="1">
            <w:r w:rsidRPr="00E5579B">
              <w:rPr>
                <w:rStyle w:val="a7"/>
                <w:rFonts w:hint="eastAsia"/>
                <w:noProof/>
              </w:rPr>
              <w:t>国务院办公厅关于创新农村基础设施投融资体制机制的指导意见（国办发〔</w:t>
            </w:r>
            <w:r w:rsidRPr="00E5579B">
              <w:rPr>
                <w:rStyle w:val="a7"/>
                <w:noProof/>
              </w:rPr>
              <w:t>2017</w:t>
            </w:r>
            <w:r w:rsidRPr="00E5579B">
              <w:rPr>
                <w:rStyle w:val="a7"/>
                <w:rFonts w:hint="eastAsia"/>
                <w:noProof/>
              </w:rPr>
              <w:t>〕</w:t>
            </w:r>
            <w:r w:rsidRPr="00E5579B">
              <w:rPr>
                <w:rStyle w:val="a7"/>
                <w:noProof/>
              </w:rPr>
              <w:t>17</w:t>
            </w:r>
            <w:r w:rsidRPr="00E5579B">
              <w:rPr>
                <w:rStyle w:val="a7"/>
                <w:rFonts w:hint="eastAsia"/>
                <w:noProof/>
              </w:rPr>
              <w:t>号）</w:t>
            </w:r>
            <w:r>
              <w:rPr>
                <w:noProof/>
                <w:webHidden/>
              </w:rPr>
              <w:tab/>
            </w:r>
            <w:r>
              <w:rPr>
                <w:noProof/>
                <w:webHidden/>
              </w:rPr>
              <w:fldChar w:fldCharType="begin"/>
            </w:r>
            <w:r>
              <w:rPr>
                <w:noProof/>
                <w:webHidden/>
              </w:rPr>
              <w:instrText xml:space="preserve"> PAGEREF _Toc12864278 \h </w:instrText>
            </w:r>
            <w:r>
              <w:rPr>
                <w:noProof/>
                <w:webHidden/>
              </w:rPr>
            </w:r>
            <w:r>
              <w:rPr>
                <w:noProof/>
                <w:webHidden/>
              </w:rPr>
              <w:fldChar w:fldCharType="separate"/>
            </w:r>
            <w:r w:rsidR="000958AB">
              <w:rPr>
                <w:noProof/>
                <w:webHidden/>
              </w:rPr>
              <w:t>768</w:t>
            </w:r>
            <w:r>
              <w:rPr>
                <w:noProof/>
                <w:webHidden/>
              </w:rPr>
              <w:fldChar w:fldCharType="end"/>
            </w:r>
          </w:hyperlink>
        </w:p>
        <w:p w:rsidR="002746BC" w:rsidRDefault="002746BC">
          <w:pPr>
            <w:pStyle w:val="30"/>
            <w:rPr>
              <w:noProof/>
            </w:rPr>
          </w:pPr>
          <w:hyperlink w:anchor="_Toc12864279" w:history="1">
            <w:r w:rsidRPr="00E5579B">
              <w:rPr>
                <w:rStyle w:val="a7"/>
                <w:rFonts w:hint="eastAsia"/>
                <w:noProof/>
              </w:rPr>
              <w:t>国家发展改革委</w:t>
            </w:r>
            <w:r w:rsidRPr="00E5579B">
              <w:rPr>
                <w:rStyle w:val="a7"/>
                <w:noProof/>
              </w:rPr>
              <w:t xml:space="preserve"> </w:t>
            </w:r>
            <w:r w:rsidRPr="00E5579B">
              <w:rPr>
                <w:rStyle w:val="a7"/>
                <w:rFonts w:hint="eastAsia"/>
                <w:noProof/>
              </w:rPr>
              <w:t>农业部关于推进农业领域政府和社会资本合作的指导意见（发改农经〔</w:t>
            </w:r>
            <w:r w:rsidRPr="00E5579B">
              <w:rPr>
                <w:rStyle w:val="a7"/>
                <w:noProof/>
              </w:rPr>
              <w:t>2016</w:t>
            </w:r>
            <w:r w:rsidRPr="00E5579B">
              <w:rPr>
                <w:rStyle w:val="a7"/>
                <w:rFonts w:hint="eastAsia"/>
                <w:noProof/>
              </w:rPr>
              <w:t>〕</w:t>
            </w:r>
            <w:r w:rsidRPr="00E5579B">
              <w:rPr>
                <w:rStyle w:val="a7"/>
                <w:noProof/>
              </w:rPr>
              <w:t>2574</w:t>
            </w:r>
            <w:r w:rsidRPr="00E5579B">
              <w:rPr>
                <w:rStyle w:val="a7"/>
                <w:rFonts w:hint="eastAsia"/>
                <w:noProof/>
              </w:rPr>
              <w:t>号）</w:t>
            </w:r>
            <w:r>
              <w:rPr>
                <w:noProof/>
                <w:webHidden/>
              </w:rPr>
              <w:tab/>
            </w:r>
            <w:r>
              <w:rPr>
                <w:noProof/>
                <w:webHidden/>
              </w:rPr>
              <w:fldChar w:fldCharType="begin"/>
            </w:r>
            <w:r>
              <w:rPr>
                <w:noProof/>
                <w:webHidden/>
              </w:rPr>
              <w:instrText xml:space="preserve"> PAGEREF _Toc12864279 \h </w:instrText>
            </w:r>
            <w:r>
              <w:rPr>
                <w:noProof/>
                <w:webHidden/>
              </w:rPr>
            </w:r>
            <w:r>
              <w:rPr>
                <w:noProof/>
                <w:webHidden/>
              </w:rPr>
              <w:fldChar w:fldCharType="separate"/>
            </w:r>
            <w:r w:rsidR="000958AB">
              <w:rPr>
                <w:noProof/>
                <w:webHidden/>
              </w:rPr>
              <w:t>778</w:t>
            </w:r>
            <w:r>
              <w:rPr>
                <w:noProof/>
                <w:webHidden/>
              </w:rPr>
              <w:fldChar w:fldCharType="end"/>
            </w:r>
          </w:hyperlink>
        </w:p>
        <w:p w:rsidR="002746BC" w:rsidRDefault="002746BC">
          <w:pPr>
            <w:pStyle w:val="30"/>
            <w:rPr>
              <w:noProof/>
            </w:rPr>
          </w:pPr>
          <w:hyperlink w:anchor="_Toc12864280" w:history="1">
            <w:r w:rsidRPr="00E5579B">
              <w:rPr>
                <w:rStyle w:val="a7"/>
                <w:rFonts w:hint="eastAsia"/>
                <w:noProof/>
              </w:rPr>
              <w:t>农业部关于大力发展休闲农业的指导意见（农加发〔</w:t>
            </w:r>
            <w:r w:rsidRPr="00E5579B">
              <w:rPr>
                <w:rStyle w:val="a7"/>
                <w:noProof/>
              </w:rPr>
              <w:t>2016</w:t>
            </w:r>
            <w:r w:rsidRPr="00E5579B">
              <w:rPr>
                <w:rStyle w:val="a7"/>
                <w:rFonts w:hint="eastAsia"/>
                <w:noProof/>
              </w:rPr>
              <w:t>〕</w:t>
            </w:r>
            <w:r w:rsidRPr="00E5579B">
              <w:rPr>
                <w:rStyle w:val="a7"/>
                <w:noProof/>
              </w:rPr>
              <w:t>3</w:t>
            </w:r>
            <w:r w:rsidRPr="00E5579B">
              <w:rPr>
                <w:rStyle w:val="a7"/>
                <w:rFonts w:hint="eastAsia"/>
                <w:noProof/>
              </w:rPr>
              <w:t>号）</w:t>
            </w:r>
            <w:r>
              <w:rPr>
                <w:noProof/>
                <w:webHidden/>
              </w:rPr>
              <w:tab/>
            </w:r>
            <w:r>
              <w:rPr>
                <w:noProof/>
                <w:webHidden/>
              </w:rPr>
              <w:fldChar w:fldCharType="begin"/>
            </w:r>
            <w:r>
              <w:rPr>
                <w:noProof/>
                <w:webHidden/>
              </w:rPr>
              <w:instrText xml:space="preserve"> PAGEREF _Toc12864280 \h </w:instrText>
            </w:r>
            <w:r>
              <w:rPr>
                <w:noProof/>
                <w:webHidden/>
              </w:rPr>
            </w:r>
            <w:r>
              <w:rPr>
                <w:noProof/>
                <w:webHidden/>
              </w:rPr>
              <w:fldChar w:fldCharType="separate"/>
            </w:r>
            <w:r w:rsidR="000958AB">
              <w:rPr>
                <w:noProof/>
                <w:webHidden/>
              </w:rPr>
              <w:t>786</w:t>
            </w:r>
            <w:r>
              <w:rPr>
                <w:noProof/>
                <w:webHidden/>
              </w:rPr>
              <w:fldChar w:fldCharType="end"/>
            </w:r>
          </w:hyperlink>
        </w:p>
        <w:p w:rsidR="002746BC" w:rsidRDefault="002746BC">
          <w:pPr>
            <w:pStyle w:val="30"/>
            <w:rPr>
              <w:noProof/>
            </w:rPr>
          </w:pPr>
          <w:hyperlink w:anchor="_Toc12864281" w:history="1">
            <w:r w:rsidRPr="00E5579B">
              <w:rPr>
                <w:rStyle w:val="a7"/>
                <w:rFonts w:hint="eastAsia"/>
                <w:noProof/>
              </w:rPr>
              <w:t>国务院办公厅关于推进农村一二三产业融合发展的指导意见（国办发〔</w:t>
            </w:r>
            <w:r w:rsidRPr="00E5579B">
              <w:rPr>
                <w:rStyle w:val="a7"/>
                <w:noProof/>
              </w:rPr>
              <w:t>2015</w:t>
            </w:r>
            <w:r w:rsidRPr="00E5579B">
              <w:rPr>
                <w:rStyle w:val="a7"/>
                <w:rFonts w:hint="eastAsia"/>
                <w:noProof/>
              </w:rPr>
              <w:t>〕</w:t>
            </w:r>
            <w:r w:rsidRPr="00E5579B">
              <w:rPr>
                <w:rStyle w:val="a7"/>
                <w:noProof/>
              </w:rPr>
              <w:t>93</w:t>
            </w:r>
            <w:r w:rsidRPr="00E5579B">
              <w:rPr>
                <w:rStyle w:val="a7"/>
                <w:rFonts w:hint="eastAsia"/>
                <w:noProof/>
              </w:rPr>
              <w:t>号）</w:t>
            </w:r>
            <w:r>
              <w:rPr>
                <w:noProof/>
                <w:webHidden/>
              </w:rPr>
              <w:tab/>
            </w:r>
            <w:r>
              <w:rPr>
                <w:noProof/>
                <w:webHidden/>
              </w:rPr>
              <w:fldChar w:fldCharType="begin"/>
            </w:r>
            <w:r>
              <w:rPr>
                <w:noProof/>
                <w:webHidden/>
              </w:rPr>
              <w:instrText xml:space="preserve"> PAGEREF _Toc12864281 \h </w:instrText>
            </w:r>
            <w:r>
              <w:rPr>
                <w:noProof/>
                <w:webHidden/>
              </w:rPr>
            </w:r>
            <w:r>
              <w:rPr>
                <w:noProof/>
                <w:webHidden/>
              </w:rPr>
              <w:fldChar w:fldCharType="separate"/>
            </w:r>
            <w:r w:rsidR="000958AB">
              <w:rPr>
                <w:noProof/>
                <w:webHidden/>
              </w:rPr>
              <w:t>796</w:t>
            </w:r>
            <w:r>
              <w:rPr>
                <w:noProof/>
                <w:webHidden/>
              </w:rPr>
              <w:fldChar w:fldCharType="end"/>
            </w:r>
          </w:hyperlink>
        </w:p>
        <w:p w:rsidR="002746BC" w:rsidRDefault="002746BC">
          <w:pPr>
            <w:pStyle w:val="20"/>
            <w:tabs>
              <w:tab w:val="right" w:leader="dot" w:pos="8296"/>
            </w:tabs>
            <w:rPr>
              <w:noProof/>
            </w:rPr>
          </w:pPr>
          <w:hyperlink w:anchor="_Toc12864282" w:history="1">
            <w:r w:rsidRPr="00E5579B">
              <w:rPr>
                <w:rStyle w:val="a7"/>
                <w:noProof/>
              </w:rPr>
              <w:t>4</w:t>
            </w:r>
            <w:r w:rsidRPr="00E5579B">
              <w:rPr>
                <w:rStyle w:val="a7"/>
                <w:rFonts w:hint="eastAsia"/>
                <w:noProof/>
              </w:rPr>
              <w:t>、产业园区</w:t>
            </w:r>
            <w:r>
              <w:rPr>
                <w:noProof/>
                <w:webHidden/>
              </w:rPr>
              <w:tab/>
            </w:r>
            <w:r>
              <w:rPr>
                <w:noProof/>
                <w:webHidden/>
              </w:rPr>
              <w:fldChar w:fldCharType="begin"/>
            </w:r>
            <w:r>
              <w:rPr>
                <w:noProof/>
                <w:webHidden/>
              </w:rPr>
              <w:instrText xml:space="preserve"> PAGEREF _Toc12864282 \h </w:instrText>
            </w:r>
            <w:r>
              <w:rPr>
                <w:noProof/>
                <w:webHidden/>
              </w:rPr>
            </w:r>
            <w:r>
              <w:rPr>
                <w:noProof/>
                <w:webHidden/>
              </w:rPr>
              <w:fldChar w:fldCharType="separate"/>
            </w:r>
            <w:r w:rsidR="000958AB">
              <w:rPr>
                <w:noProof/>
                <w:webHidden/>
              </w:rPr>
              <w:t>807</w:t>
            </w:r>
            <w:r>
              <w:rPr>
                <w:noProof/>
                <w:webHidden/>
              </w:rPr>
              <w:fldChar w:fldCharType="end"/>
            </w:r>
          </w:hyperlink>
        </w:p>
        <w:p w:rsidR="002746BC" w:rsidRDefault="002746BC">
          <w:pPr>
            <w:pStyle w:val="30"/>
            <w:rPr>
              <w:noProof/>
            </w:rPr>
          </w:pPr>
          <w:hyperlink w:anchor="_Toc12864283" w:history="1">
            <w:r w:rsidRPr="00E5579B">
              <w:rPr>
                <w:rStyle w:val="a7"/>
                <w:rFonts w:hint="eastAsia"/>
                <w:noProof/>
              </w:rPr>
              <w:t>关于支持“飞地经济”发展的指导意见（发改地区〔</w:t>
            </w:r>
            <w:r w:rsidRPr="00E5579B">
              <w:rPr>
                <w:rStyle w:val="a7"/>
                <w:noProof/>
              </w:rPr>
              <w:t>2017</w:t>
            </w:r>
            <w:r w:rsidRPr="00E5579B">
              <w:rPr>
                <w:rStyle w:val="a7"/>
                <w:rFonts w:hint="eastAsia"/>
                <w:noProof/>
              </w:rPr>
              <w:t>〕</w:t>
            </w:r>
            <w:r w:rsidRPr="00E5579B">
              <w:rPr>
                <w:rStyle w:val="a7"/>
                <w:noProof/>
              </w:rPr>
              <w:t>922</w:t>
            </w:r>
            <w:r w:rsidRPr="00E5579B">
              <w:rPr>
                <w:rStyle w:val="a7"/>
                <w:rFonts w:hint="eastAsia"/>
                <w:noProof/>
              </w:rPr>
              <w:t>号）</w:t>
            </w:r>
            <w:r>
              <w:rPr>
                <w:noProof/>
                <w:webHidden/>
              </w:rPr>
              <w:tab/>
            </w:r>
            <w:r>
              <w:rPr>
                <w:noProof/>
                <w:webHidden/>
              </w:rPr>
              <w:fldChar w:fldCharType="begin"/>
            </w:r>
            <w:r>
              <w:rPr>
                <w:noProof/>
                <w:webHidden/>
              </w:rPr>
              <w:instrText xml:space="preserve"> PAGEREF _Toc12864283 \h </w:instrText>
            </w:r>
            <w:r>
              <w:rPr>
                <w:noProof/>
                <w:webHidden/>
              </w:rPr>
            </w:r>
            <w:r>
              <w:rPr>
                <w:noProof/>
                <w:webHidden/>
              </w:rPr>
              <w:fldChar w:fldCharType="separate"/>
            </w:r>
            <w:r w:rsidR="000958AB">
              <w:rPr>
                <w:noProof/>
                <w:webHidden/>
              </w:rPr>
              <w:t>808</w:t>
            </w:r>
            <w:r>
              <w:rPr>
                <w:noProof/>
                <w:webHidden/>
              </w:rPr>
              <w:fldChar w:fldCharType="end"/>
            </w:r>
          </w:hyperlink>
        </w:p>
        <w:p w:rsidR="002746BC" w:rsidRDefault="002746BC">
          <w:pPr>
            <w:pStyle w:val="30"/>
            <w:rPr>
              <w:noProof/>
            </w:rPr>
          </w:pPr>
          <w:hyperlink w:anchor="_Toc12864284" w:history="1">
            <w:r w:rsidRPr="00E5579B">
              <w:rPr>
                <w:rStyle w:val="a7"/>
                <w:rFonts w:hint="eastAsia"/>
                <w:noProof/>
              </w:rPr>
              <w:t>国家发展改革委关于印发</w:t>
            </w:r>
            <w:r w:rsidRPr="00E5579B">
              <w:rPr>
                <w:rStyle w:val="a7"/>
                <w:noProof/>
              </w:rPr>
              <w:t>2017</w:t>
            </w:r>
            <w:r w:rsidRPr="00E5579B">
              <w:rPr>
                <w:rStyle w:val="a7"/>
                <w:rFonts w:hint="eastAsia"/>
                <w:noProof/>
              </w:rPr>
              <w:t>年国家级新区体制机制创新工作要点的通知（发改地区〔</w:t>
            </w:r>
            <w:r w:rsidRPr="00E5579B">
              <w:rPr>
                <w:rStyle w:val="a7"/>
                <w:noProof/>
              </w:rPr>
              <w:t>2017</w:t>
            </w:r>
            <w:r w:rsidRPr="00E5579B">
              <w:rPr>
                <w:rStyle w:val="a7"/>
                <w:rFonts w:hint="eastAsia"/>
                <w:noProof/>
              </w:rPr>
              <w:t>〕</w:t>
            </w:r>
            <w:r w:rsidRPr="00E5579B">
              <w:rPr>
                <w:rStyle w:val="a7"/>
                <w:noProof/>
              </w:rPr>
              <w:t>583</w:t>
            </w:r>
            <w:r w:rsidRPr="00E5579B">
              <w:rPr>
                <w:rStyle w:val="a7"/>
                <w:rFonts w:hint="eastAsia"/>
                <w:noProof/>
              </w:rPr>
              <w:t>号）</w:t>
            </w:r>
            <w:r>
              <w:rPr>
                <w:noProof/>
                <w:webHidden/>
              </w:rPr>
              <w:tab/>
            </w:r>
            <w:r>
              <w:rPr>
                <w:noProof/>
                <w:webHidden/>
              </w:rPr>
              <w:fldChar w:fldCharType="begin"/>
            </w:r>
            <w:r>
              <w:rPr>
                <w:noProof/>
                <w:webHidden/>
              </w:rPr>
              <w:instrText xml:space="preserve"> PAGEREF _Toc12864284 \h </w:instrText>
            </w:r>
            <w:r>
              <w:rPr>
                <w:noProof/>
                <w:webHidden/>
              </w:rPr>
            </w:r>
            <w:r>
              <w:rPr>
                <w:noProof/>
                <w:webHidden/>
              </w:rPr>
              <w:fldChar w:fldCharType="separate"/>
            </w:r>
            <w:r w:rsidR="000958AB">
              <w:rPr>
                <w:noProof/>
                <w:webHidden/>
              </w:rPr>
              <w:t>814</w:t>
            </w:r>
            <w:r>
              <w:rPr>
                <w:noProof/>
                <w:webHidden/>
              </w:rPr>
              <w:fldChar w:fldCharType="end"/>
            </w:r>
          </w:hyperlink>
        </w:p>
        <w:p w:rsidR="002746BC" w:rsidRDefault="002746BC">
          <w:pPr>
            <w:pStyle w:val="30"/>
            <w:rPr>
              <w:noProof/>
            </w:rPr>
          </w:pPr>
          <w:hyperlink w:anchor="_Toc12864285" w:history="1">
            <w:r w:rsidRPr="00E5579B">
              <w:rPr>
                <w:rStyle w:val="a7"/>
                <w:rFonts w:hint="eastAsia"/>
                <w:noProof/>
              </w:rPr>
              <w:t>国务院办公厅关于促进开发区改革和创新发展的若干意见（国办发〔</w:t>
            </w:r>
            <w:r w:rsidRPr="00E5579B">
              <w:rPr>
                <w:rStyle w:val="a7"/>
                <w:noProof/>
              </w:rPr>
              <w:t>2017</w:t>
            </w:r>
            <w:r w:rsidRPr="00E5579B">
              <w:rPr>
                <w:rStyle w:val="a7"/>
                <w:rFonts w:hint="eastAsia"/>
                <w:noProof/>
              </w:rPr>
              <w:t>〕</w:t>
            </w:r>
            <w:r w:rsidRPr="00E5579B">
              <w:rPr>
                <w:rStyle w:val="a7"/>
                <w:noProof/>
              </w:rPr>
              <w:t>7</w:t>
            </w:r>
            <w:r w:rsidRPr="00E5579B">
              <w:rPr>
                <w:rStyle w:val="a7"/>
                <w:rFonts w:hint="eastAsia"/>
                <w:noProof/>
              </w:rPr>
              <w:t>号）</w:t>
            </w:r>
            <w:r>
              <w:rPr>
                <w:noProof/>
                <w:webHidden/>
              </w:rPr>
              <w:tab/>
            </w:r>
            <w:r>
              <w:rPr>
                <w:noProof/>
                <w:webHidden/>
              </w:rPr>
              <w:fldChar w:fldCharType="begin"/>
            </w:r>
            <w:r>
              <w:rPr>
                <w:noProof/>
                <w:webHidden/>
              </w:rPr>
              <w:instrText xml:space="preserve"> PAGEREF _Toc12864285 \h </w:instrText>
            </w:r>
            <w:r>
              <w:rPr>
                <w:noProof/>
                <w:webHidden/>
              </w:rPr>
            </w:r>
            <w:r>
              <w:rPr>
                <w:noProof/>
                <w:webHidden/>
              </w:rPr>
              <w:fldChar w:fldCharType="separate"/>
            </w:r>
            <w:r w:rsidR="000958AB">
              <w:rPr>
                <w:noProof/>
                <w:webHidden/>
              </w:rPr>
              <w:t>825</w:t>
            </w:r>
            <w:r>
              <w:rPr>
                <w:noProof/>
                <w:webHidden/>
              </w:rPr>
              <w:fldChar w:fldCharType="end"/>
            </w:r>
          </w:hyperlink>
        </w:p>
        <w:p w:rsidR="002746BC" w:rsidRDefault="002746BC">
          <w:pPr>
            <w:pStyle w:val="30"/>
            <w:rPr>
              <w:noProof/>
            </w:rPr>
          </w:pPr>
          <w:hyperlink w:anchor="_Toc12864286" w:history="1">
            <w:r w:rsidRPr="00E5579B">
              <w:rPr>
                <w:rStyle w:val="a7"/>
                <w:rFonts w:hint="eastAsia"/>
                <w:noProof/>
              </w:rPr>
              <w:t>关于促进具备条件的开发区向城市综合功能区转型的指导意见（发改规划〔</w:t>
            </w:r>
            <w:r w:rsidRPr="00E5579B">
              <w:rPr>
                <w:rStyle w:val="a7"/>
                <w:noProof/>
              </w:rPr>
              <w:t>2015</w:t>
            </w:r>
            <w:r w:rsidRPr="00E5579B">
              <w:rPr>
                <w:rStyle w:val="a7"/>
                <w:rFonts w:hint="eastAsia"/>
                <w:noProof/>
              </w:rPr>
              <w:t>〕</w:t>
            </w:r>
            <w:r w:rsidRPr="00E5579B">
              <w:rPr>
                <w:rStyle w:val="a7"/>
                <w:noProof/>
              </w:rPr>
              <w:t>2832</w:t>
            </w:r>
            <w:r w:rsidRPr="00E5579B">
              <w:rPr>
                <w:rStyle w:val="a7"/>
                <w:rFonts w:hint="eastAsia"/>
                <w:noProof/>
              </w:rPr>
              <w:t>号）</w:t>
            </w:r>
            <w:r>
              <w:rPr>
                <w:noProof/>
                <w:webHidden/>
              </w:rPr>
              <w:tab/>
            </w:r>
            <w:r>
              <w:rPr>
                <w:noProof/>
                <w:webHidden/>
              </w:rPr>
              <w:fldChar w:fldCharType="begin"/>
            </w:r>
            <w:r>
              <w:rPr>
                <w:noProof/>
                <w:webHidden/>
              </w:rPr>
              <w:instrText xml:space="preserve"> PAGEREF _Toc12864286 \h </w:instrText>
            </w:r>
            <w:r>
              <w:rPr>
                <w:noProof/>
                <w:webHidden/>
              </w:rPr>
            </w:r>
            <w:r>
              <w:rPr>
                <w:noProof/>
                <w:webHidden/>
              </w:rPr>
              <w:fldChar w:fldCharType="separate"/>
            </w:r>
            <w:r w:rsidR="000958AB">
              <w:rPr>
                <w:noProof/>
                <w:webHidden/>
              </w:rPr>
              <w:t>836</w:t>
            </w:r>
            <w:r>
              <w:rPr>
                <w:noProof/>
                <w:webHidden/>
              </w:rPr>
              <w:fldChar w:fldCharType="end"/>
            </w:r>
          </w:hyperlink>
        </w:p>
        <w:p w:rsidR="002746BC" w:rsidRDefault="002746BC">
          <w:pPr>
            <w:pStyle w:val="30"/>
            <w:rPr>
              <w:noProof/>
            </w:rPr>
          </w:pPr>
          <w:hyperlink w:anchor="_Toc12864287" w:history="1">
            <w:r w:rsidRPr="00E5579B">
              <w:rPr>
                <w:rStyle w:val="a7"/>
                <w:rFonts w:hint="eastAsia"/>
                <w:noProof/>
              </w:rPr>
              <w:t>国家发展改革委</w:t>
            </w:r>
            <w:r w:rsidRPr="00E5579B">
              <w:rPr>
                <w:rStyle w:val="a7"/>
                <w:noProof/>
              </w:rPr>
              <w:t xml:space="preserve"> </w:t>
            </w:r>
            <w:r w:rsidRPr="00E5579B">
              <w:rPr>
                <w:rStyle w:val="a7"/>
                <w:rFonts w:hint="eastAsia"/>
                <w:noProof/>
              </w:rPr>
              <w:t>国家开发银行关于推进开发性金融支持国家级新区健康发展有关工作的通知（发改地区〔</w:t>
            </w:r>
            <w:r w:rsidRPr="00E5579B">
              <w:rPr>
                <w:rStyle w:val="a7"/>
                <w:noProof/>
              </w:rPr>
              <w:t>2015</w:t>
            </w:r>
            <w:r w:rsidRPr="00E5579B">
              <w:rPr>
                <w:rStyle w:val="a7"/>
                <w:rFonts w:hint="eastAsia"/>
                <w:noProof/>
              </w:rPr>
              <w:t>〕</w:t>
            </w:r>
            <w:r w:rsidRPr="00E5579B">
              <w:rPr>
                <w:rStyle w:val="a7"/>
                <w:noProof/>
              </w:rPr>
              <w:t>1584</w:t>
            </w:r>
            <w:r w:rsidRPr="00E5579B">
              <w:rPr>
                <w:rStyle w:val="a7"/>
                <w:rFonts w:hint="eastAsia"/>
                <w:noProof/>
              </w:rPr>
              <w:t>号）</w:t>
            </w:r>
            <w:r>
              <w:rPr>
                <w:noProof/>
                <w:webHidden/>
              </w:rPr>
              <w:tab/>
            </w:r>
            <w:r>
              <w:rPr>
                <w:noProof/>
                <w:webHidden/>
              </w:rPr>
              <w:fldChar w:fldCharType="begin"/>
            </w:r>
            <w:r>
              <w:rPr>
                <w:noProof/>
                <w:webHidden/>
              </w:rPr>
              <w:instrText xml:space="preserve"> PAGEREF _Toc12864287 \h </w:instrText>
            </w:r>
            <w:r>
              <w:rPr>
                <w:noProof/>
                <w:webHidden/>
              </w:rPr>
            </w:r>
            <w:r>
              <w:rPr>
                <w:noProof/>
                <w:webHidden/>
              </w:rPr>
              <w:fldChar w:fldCharType="separate"/>
            </w:r>
            <w:r w:rsidR="000958AB">
              <w:rPr>
                <w:noProof/>
                <w:webHidden/>
              </w:rPr>
              <w:t>845</w:t>
            </w:r>
            <w:r>
              <w:rPr>
                <w:noProof/>
                <w:webHidden/>
              </w:rPr>
              <w:fldChar w:fldCharType="end"/>
            </w:r>
          </w:hyperlink>
        </w:p>
        <w:p w:rsidR="002746BC" w:rsidRDefault="002746BC">
          <w:pPr>
            <w:pStyle w:val="30"/>
            <w:rPr>
              <w:noProof/>
            </w:rPr>
          </w:pPr>
          <w:hyperlink w:anchor="_Toc12864288" w:history="1">
            <w:r w:rsidRPr="00E5579B">
              <w:rPr>
                <w:rStyle w:val="a7"/>
                <w:rFonts w:hint="eastAsia"/>
                <w:noProof/>
              </w:rPr>
              <w:t>国家发展改革委关于印发促进产业集群发展的若干意见的通知（发改企业〔</w:t>
            </w:r>
            <w:r w:rsidRPr="00E5579B">
              <w:rPr>
                <w:rStyle w:val="a7"/>
                <w:noProof/>
              </w:rPr>
              <w:t>2007</w:t>
            </w:r>
            <w:r w:rsidRPr="00E5579B">
              <w:rPr>
                <w:rStyle w:val="a7"/>
                <w:rFonts w:hint="eastAsia"/>
                <w:noProof/>
              </w:rPr>
              <w:t>〕</w:t>
            </w:r>
            <w:r w:rsidRPr="00E5579B">
              <w:rPr>
                <w:rStyle w:val="a7"/>
                <w:noProof/>
              </w:rPr>
              <w:t>2897</w:t>
            </w:r>
            <w:r w:rsidRPr="00E5579B">
              <w:rPr>
                <w:rStyle w:val="a7"/>
                <w:rFonts w:hint="eastAsia"/>
                <w:noProof/>
              </w:rPr>
              <w:t>号）</w:t>
            </w:r>
            <w:r>
              <w:rPr>
                <w:noProof/>
                <w:webHidden/>
              </w:rPr>
              <w:tab/>
            </w:r>
            <w:r>
              <w:rPr>
                <w:noProof/>
                <w:webHidden/>
              </w:rPr>
              <w:fldChar w:fldCharType="begin"/>
            </w:r>
            <w:r>
              <w:rPr>
                <w:noProof/>
                <w:webHidden/>
              </w:rPr>
              <w:instrText xml:space="preserve"> PAGEREF _Toc12864288 \h </w:instrText>
            </w:r>
            <w:r>
              <w:rPr>
                <w:noProof/>
                <w:webHidden/>
              </w:rPr>
            </w:r>
            <w:r>
              <w:rPr>
                <w:noProof/>
                <w:webHidden/>
              </w:rPr>
              <w:fldChar w:fldCharType="separate"/>
            </w:r>
            <w:r w:rsidR="000958AB">
              <w:rPr>
                <w:noProof/>
                <w:webHidden/>
              </w:rPr>
              <w:t>848</w:t>
            </w:r>
            <w:r>
              <w:rPr>
                <w:noProof/>
                <w:webHidden/>
              </w:rPr>
              <w:fldChar w:fldCharType="end"/>
            </w:r>
          </w:hyperlink>
        </w:p>
        <w:p w:rsidR="00E02FF6" w:rsidRPr="00BB0367" w:rsidRDefault="00E02FF6" w:rsidP="00E02FF6">
          <w:r w:rsidRPr="00BB0367">
            <w:rPr>
              <w:b/>
              <w:bCs/>
              <w:lang w:val="zh-CN"/>
            </w:rPr>
            <w:fldChar w:fldCharType="end"/>
          </w:r>
        </w:p>
      </w:sdtContent>
    </w:sdt>
    <w:p w:rsidR="00E02FF6" w:rsidRPr="00BB0367" w:rsidRDefault="00E02FF6" w:rsidP="00E02FF6">
      <w:pPr>
        <w:jc w:val="center"/>
        <w:rPr>
          <w:sz w:val="32"/>
          <w:szCs w:val="32"/>
        </w:rPr>
      </w:pPr>
    </w:p>
    <w:p w:rsidR="00E02FF6" w:rsidRPr="00BB0367" w:rsidRDefault="00E02FF6" w:rsidP="00E02FF6">
      <w:pPr>
        <w:jc w:val="center"/>
        <w:rPr>
          <w:sz w:val="32"/>
          <w:szCs w:val="32"/>
        </w:rPr>
      </w:pPr>
    </w:p>
    <w:p w:rsidR="00E02FF6" w:rsidRPr="00BB0367" w:rsidRDefault="00E02FF6" w:rsidP="00E02FF6">
      <w:pPr>
        <w:jc w:val="center"/>
        <w:rPr>
          <w:sz w:val="32"/>
          <w:szCs w:val="32"/>
        </w:rPr>
      </w:pPr>
    </w:p>
    <w:p w:rsidR="00E02FF6" w:rsidRPr="009034E3" w:rsidRDefault="00E02FF6" w:rsidP="00E02FF6">
      <w:pPr>
        <w:jc w:val="center"/>
        <w:rPr>
          <w:sz w:val="32"/>
          <w:szCs w:val="32"/>
        </w:rPr>
      </w:pPr>
    </w:p>
    <w:p w:rsidR="00E02FF6" w:rsidRPr="00BB0367" w:rsidRDefault="00E02FF6" w:rsidP="002746BC">
      <w:pPr>
        <w:rPr>
          <w:sz w:val="32"/>
          <w:szCs w:val="32"/>
        </w:rPr>
      </w:pPr>
    </w:p>
    <w:p w:rsidR="008C799C" w:rsidRDefault="008C799C" w:rsidP="00E02FF6">
      <w:pPr>
        <w:jc w:val="center"/>
        <w:rPr>
          <w:sz w:val="32"/>
          <w:szCs w:val="32"/>
        </w:rPr>
      </w:pPr>
    </w:p>
    <w:p w:rsidR="008C799C" w:rsidRDefault="008C799C" w:rsidP="002746BC">
      <w:pPr>
        <w:rPr>
          <w:sz w:val="32"/>
          <w:szCs w:val="32"/>
        </w:rPr>
      </w:pPr>
    </w:p>
    <w:p w:rsidR="008C799C" w:rsidRDefault="008C799C" w:rsidP="00E02FF6">
      <w:pPr>
        <w:jc w:val="center"/>
        <w:rPr>
          <w:sz w:val="32"/>
          <w:szCs w:val="32"/>
        </w:rPr>
      </w:pPr>
    </w:p>
    <w:p w:rsidR="008C799C" w:rsidRDefault="008C799C" w:rsidP="00E02FF6">
      <w:pPr>
        <w:jc w:val="center"/>
        <w:rPr>
          <w:sz w:val="32"/>
          <w:szCs w:val="32"/>
        </w:rPr>
      </w:pPr>
    </w:p>
    <w:p w:rsidR="008C799C" w:rsidRDefault="008C799C" w:rsidP="00E02FF6">
      <w:pPr>
        <w:jc w:val="center"/>
        <w:rPr>
          <w:sz w:val="32"/>
          <w:szCs w:val="32"/>
        </w:rPr>
      </w:pPr>
    </w:p>
    <w:p w:rsidR="008C799C" w:rsidRPr="00BB0367" w:rsidRDefault="008C799C" w:rsidP="00E02FF6">
      <w:pPr>
        <w:jc w:val="center"/>
        <w:rPr>
          <w:sz w:val="32"/>
          <w:szCs w:val="32"/>
        </w:rPr>
      </w:pPr>
    </w:p>
    <w:p w:rsidR="00E02FF6" w:rsidRPr="00BB0367" w:rsidRDefault="00E02FF6" w:rsidP="00E02FF6">
      <w:pPr>
        <w:jc w:val="center"/>
        <w:rPr>
          <w:sz w:val="32"/>
          <w:szCs w:val="32"/>
        </w:rPr>
      </w:pPr>
    </w:p>
    <w:p w:rsidR="00E02FF6" w:rsidRPr="008C799C" w:rsidRDefault="00E02FF6" w:rsidP="00E02FF6">
      <w:pPr>
        <w:pStyle w:val="2"/>
        <w:jc w:val="center"/>
      </w:pPr>
      <w:bookmarkStart w:id="1" w:name="_Toc12864166"/>
      <w:r w:rsidRPr="008C799C">
        <w:rPr>
          <w:rFonts w:hint="eastAsia"/>
        </w:rPr>
        <w:t>（一）</w:t>
      </w:r>
      <w:r w:rsidR="008C799C" w:rsidRPr="008C799C">
        <w:rPr>
          <w:rFonts w:hint="eastAsia"/>
        </w:rPr>
        <w:t>政府监督规范类</w:t>
      </w:r>
      <w:bookmarkEnd w:id="1"/>
    </w:p>
    <w:p w:rsidR="00E02FF6" w:rsidRPr="008C799C" w:rsidRDefault="008C799C" w:rsidP="008C799C">
      <w:pPr>
        <w:pStyle w:val="2"/>
        <w:jc w:val="center"/>
        <w:rPr>
          <w:bCs w:val="0"/>
        </w:rPr>
      </w:pPr>
      <w:bookmarkStart w:id="2" w:name="_Toc12864167"/>
      <w:r w:rsidRPr="008C799C">
        <w:rPr>
          <w:rFonts w:hint="eastAsia"/>
          <w:bCs w:val="0"/>
        </w:rPr>
        <w:t>1</w:t>
      </w:r>
      <w:r w:rsidRPr="008C799C">
        <w:rPr>
          <w:rFonts w:hint="eastAsia"/>
          <w:bCs w:val="0"/>
        </w:rPr>
        <w:t>、国务院文件</w:t>
      </w:r>
      <w:bookmarkEnd w:id="2"/>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8C799C" w:rsidRDefault="008C799C" w:rsidP="00E02FF6">
      <w:pPr>
        <w:jc w:val="center"/>
        <w:rPr>
          <w:b/>
          <w:sz w:val="32"/>
          <w:szCs w:val="32"/>
        </w:rPr>
      </w:pPr>
    </w:p>
    <w:p w:rsidR="00CB0337" w:rsidRDefault="00CB0337">
      <w:pPr>
        <w:rPr>
          <w:b/>
          <w:sz w:val="32"/>
          <w:szCs w:val="32"/>
        </w:rPr>
      </w:pPr>
    </w:p>
    <w:p w:rsidR="008C799C" w:rsidRDefault="008C799C"/>
    <w:p w:rsidR="008C799C" w:rsidRDefault="008C799C" w:rsidP="008C799C">
      <w:pPr>
        <w:pStyle w:val="3"/>
        <w:jc w:val="center"/>
        <w:rPr>
          <w:sz w:val="30"/>
          <w:szCs w:val="30"/>
          <w:lang w:val="zh-CN"/>
        </w:rPr>
      </w:pPr>
      <w:bookmarkStart w:id="3" w:name="_Toc12864168"/>
      <w:r w:rsidRPr="008C799C">
        <w:rPr>
          <w:rFonts w:hint="eastAsia"/>
          <w:sz w:val="30"/>
          <w:szCs w:val="30"/>
          <w:lang w:val="zh-CN"/>
        </w:rPr>
        <w:lastRenderedPageBreak/>
        <w:t>国务院办公厅关于印发地方政府性债务风险应急处置预案的通知（国办函〔</w:t>
      </w:r>
      <w:r w:rsidRPr="008C799C">
        <w:rPr>
          <w:rFonts w:hint="eastAsia"/>
          <w:sz w:val="30"/>
          <w:szCs w:val="30"/>
          <w:lang w:val="zh-CN"/>
        </w:rPr>
        <w:t>2016</w:t>
      </w:r>
      <w:r w:rsidRPr="008C799C">
        <w:rPr>
          <w:rFonts w:hint="eastAsia"/>
          <w:sz w:val="30"/>
          <w:szCs w:val="30"/>
          <w:lang w:val="zh-CN"/>
        </w:rPr>
        <w:t>〕</w:t>
      </w:r>
      <w:r w:rsidRPr="008C799C">
        <w:rPr>
          <w:rFonts w:hint="eastAsia"/>
          <w:sz w:val="30"/>
          <w:szCs w:val="30"/>
          <w:lang w:val="zh-CN"/>
        </w:rPr>
        <w:t>88</w:t>
      </w:r>
      <w:r w:rsidRPr="008C799C">
        <w:rPr>
          <w:rFonts w:hint="eastAsia"/>
          <w:sz w:val="30"/>
          <w:szCs w:val="30"/>
          <w:lang w:val="zh-CN"/>
        </w:rPr>
        <w:t>号）</w:t>
      </w:r>
      <w:bookmarkEnd w:id="3"/>
    </w:p>
    <w:p w:rsidR="008C799C" w:rsidRPr="008C799C" w:rsidRDefault="008C799C" w:rsidP="008C799C">
      <w:pPr>
        <w:widowControl/>
        <w:shd w:val="clear" w:color="auto" w:fill="FFFFFF"/>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各省、自治区、直辖市人民政府，国务院各部委、各直属机构：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经国务院同意，现将《地方政府性债务风险应急处置预案》印发给你们，请认真组织实施。</w:t>
      </w:r>
    </w:p>
    <w:p w:rsidR="008C799C" w:rsidRPr="008C799C" w:rsidRDefault="008C799C" w:rsidP="008C799C">
      <w:pPr>
        <w:widowControl/>
        <w:shd w:val="clear" w:color="auto" w:fill="FFFFFF"/>
        <w:spacing w:line="0" w:lineRule="auto"/>
        <w:ind w:firstLine="480"/>
        <w:rPr>
          <w:rFonts w:ascii="微软雅黑" w:eastAsia="微软雅黑" w:hAnsi="微软雅黑" w:cs="宋体"/>
          <w:color w:val="333333"/>
          <w:kern w:val="0"/>
          <w:sz w:val="27"/>
          <w:szCs w:val="27"/>
        </w:rPr>
      </w:pPr>
    </w:p>
    <w:p w:rsidR="008C799C" w:rsidRPr="008C799C" w:rsidRDefault="008C799C" w:rsidP="008C799C">
      <w:pPr>
        <w:widowControl/>
        <w:shd w:val="clear" w:color="auto" w:fill="FFFFFF"/>
        <w:ind w:firstLine="480"/>
        <w:jc w:val="right"/>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国务院办公厅       </w:t>
      </w:r>
      <w:r w:rsidRPr="008C799C">
        <w:rPr>
          <w:rFonts w:ascii="微软雅黑" w:eastAsia="微软雅黑" w:hAnsi="微软雅黑" w:cs="宋体" w:hint="eastAsia"/>
          <w:color w:val="333333"/>
          <w:kern w:val="0"/>
          <w:sz w:val="27"/>
          <w:szCs w:val="27"/>
        </w:rPr>
        <w:br/>
        <w:t>2016年10月27日      </w:t>
      </w:r>
    </w:p>
    <w:p w:rsidR="008C799C" w:rsidRPr="008C799C" w:rsidRDefault="008C799C" w:rsidP="008C799C">
      <w:pPr>
        <w:widowControl/>
        <w:shd w:val="clear" w:color="auto" w:fill="FFFFFF"/>
        <w:spacing w:line="0" w:lineRule="auto"/>
        <w:ind w:firstLine="480"/>
        <w:rPr>
          <w:rFonts w:ascii="微软雅黑" w:eastAsia="微软雅黑" w:hAnsi="微软雅黑" w:cs="宋体"/>
          <w:color w:val="333333"/>
          <w:kern w:val="0"/>
          <w:sz w:val="27"/>
          <w:szCs w:val="27"/>
        </w:rPr>
      </w:pP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（此件公开发布）</w:t>
      </w:r>
    </w:p>
    <w:p w:rsidR="008C799C" w:rsidRPr="008C799C" w:rsidRDefault="008C799C" w:rsidP="008C799C">
      <w:pPr>
        <w:widowControl/>
        <w:shd w:val="clear" w:color="auto" w:fill="FFFFFF"/>
        <w:spacing w:line="0" w:lineRule="auto"/>
        <w:ind w:firstLine="480"/>
        <w:rPr>
          <w:rFonts w:ascii="微软雅黑" w:eastAsia="微软雅黑" w:hAnsi="微软雅黑" w:cs="宋体"/>
          <w:color w:val="333333"/>
          <w:kern w:val="0"/>
          <w:sz w:val="27"/>
          <w:szCs w:val="27"/>
        </w:rPr>
      </w:pPr>
    </w:p>
    <w:p w:rsidR="008C799C" w:rsidRPr="008C799C" w:rsidRDefault="008C799C" w:rsidP="008C799C">
      <w:pPr>
        <w:widowControl/>
        <w:shd w:val="clear" w:color="auto" w:fill="FFFFFF"/>
        <w:spacing w:line="0" w:lineRule="auto"/>
        <w:ind w:firstLine="480"/>
        <w:rPr>
          <w:rFonts w:ascii="微软雅黑" w:eastAsia="微软雅黑" w:hAnsi="微软雅黑" w:cs="宋体"/>
          <w:color w:val="333333"/>
          <w:kern w:val="0"/>
          <w:sz w:val="27"/>
          <w:szCs w:val="27"/>
        </w:rPr>
      </w:pPr>
    </w:p>
    <w:p w:rsidR="008C799C" w:rsidRPr="008C799C" w:rsidRDefault="008C799C" w:rsidP="008C799C">
      <w:pPr>
        <w:widowControl/>
        <w:shd w:val="clear" w:color="auto" w:fill="FFFFFF"/>
        <w:ind w:firstLine="480"/>
        <w:jc w:val="center"/>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地方政府性债务风险应急处置预案</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　总则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1.1　目的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1.2　工作原则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1.3　编制依据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1.4　适用范围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　组织指挥体系及职责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2.1　应急组织机构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2.2　部门职责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　预警和预防机制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3.1　预警监测</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3.2　信息报告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3.3　分类处置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3.4　债务风险事件级别</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4　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4.1　分级响应和应急处置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4.2　地方政府财政重整计划</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4.3　舆论引导</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4.4　应急终止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　后期处置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5.1　债务风险事件应急处置记录及总结</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5.2　评估分析</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　保障措施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6.1　通信保障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6.2　人力保障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6.3　资源保障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6.4　安全保障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6.5　技术储备与保障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6.6　责任追究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7　附则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7.1　预案管理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7.2　预案解释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7.3　预案实施时间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　总则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1.1　目的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建立健全地方政府性债务风险应急处置工作机制，坚持快速响应、分类施策、各司其职、协同联动、稳妥处置，牢牢守住不发生区域性系统性风险的底线，切实防范和化解财政金融风险，维护经济安全和社会稳定。</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1.2　工作原则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1.2.1　分级负责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省级政府对本地区政府性债务风险应急处置负总责，省以下地方各级政府按照属地原则各负其责。国务院有关部门在国务院统一领导下加强对地方政府性债务风险应急处置的指导。跨省（区、市）政府性债务风险应急处置由相关地区协商办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1.2.2　及时应对</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地方各级政府应当坚持预防为主、预防和应急处置相结合，加强对政府性债务风险的监控，及时排查风险隐患，妥善处置风险事件。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1.2.3　依法处置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地方政府性债务风险事件应急处置应当依法合规，尊重市场化原则，充分考虑并维护好各方合法权益。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1.3　编制依据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中华人民共和国预算法》、《中华人民共和国突发事件应对法》、《国务院关于加强地方政府性债务管理的意见》（国发〔2014〕43号）、《国务院办公厅关于印发突发事件应急预案管理办法的通知》（国办发〔2013〕101号）等。</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1.4　适用范围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本预案所称地方政府性债务风险事件，是指地方政府已经或者可能无法按期支付政府债务本息，或者无力履行或有债务法定代偿责任，容易引发财政金融风险，需要采取应急处置措施予以应对的事件。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本预案所称存量债务，是指清理甄别认定的2014年末地方政府性债务，包括存量政府债务和存量或有债务。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1.4.1　政府债务风险事件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（1）政府债券风险事件：指地方政府发行的一般债券、专项债券还本付息出现违约。</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（2）其他政府债务风险事件：指除地方政府债券外的其他存量政府债务还本付息出现违约。</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1.4.2　或有债务风险事件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（1）政府提供担保的债务风险事件：指由企事业单位举借、地方政府及有关部门提供担保的存量或有债务出现风险，政府需要依法履行担保责任或相应民事责任却无力承担。</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政府承担救助责任的债务风险事件：指企事业单位因公益性项目举借、由非财政性资金偿还，地方政府在法律上不承担偿债或担保责任的存量或有债务出现风险，政府为维护经济安全或社会稳定需要承担一定救助责任却无力救助。</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　组织指挥体系及职责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2.1　应急组织机构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县级以上地方各级政府设立政府性债务管理领导小组（以下简称债务管理领导小组），作为非常设机构，负责领导本地区政府性债务日常</w:t>
      </w:r>
      <w:r w:rsidRPr="008C799C">
        <w:rPr>
          <w:rFonts w:ascii="微软雅黑" w:eastAsia="微软雅黑" w:hAnsi="微软雅黑" w:cs="宋体" w:hint="eastAsia"/>
          <w:color w:val="333333"/>
          <w:kern w:val="0"/>
          <w:sz w:val="27"/>
          <w:szCs w:val="27"/>
        </w:rPr>
        <w:lastRenderedPageBreak/>
        <w:t>管理。当本地区出现政府性债务风险事件时，根据需要转为政府性债务风险事件应急领导小组（以下简称债务应急领导小组），负责组织、协调、指挥风险事件应对工作。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债务管理领导小组（债务应急领导小组）由本级政府主要负责人任组长，成员单位包括财政、发展改革、审计、国资、地方金融监管等部门、单位以及人民银行分支机构、当地银监部门，根据工作需要可以适时调整成员单位。</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　部门职责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2.2.1　财政部门是政府性债务的归口管理部门，承担本级债务管理领导小组（债务应急领导小组）办公室职能，负责债务风险日常监控和定期报告，组织提出债务风险应急措施方案。</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2.2.2　债务单位行业主管部门是政府性债务风险应急处置的责任主体，负责定期梳理本行业政府性债务风险情况，督促举借债务或使用债务资金的有关单位制定本单位债务风险应急预案；当出现债务风险事件时，落实债务还款资金安排，及时向债务应急领导小组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2.2.3　发展改革部门负责评估本地区投资计划和项目，根据应急需要调整投资计划，牵头做好企业债券风险的应急处置工作。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2.2.4　审计部门负责对政府性债务风险事件开展审计，明确有关单位和人员的责任。</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2.2.5　地方金融监管部门负责按照职能分工协调所监管的地方金融机构配合开展政府性债务风险处置工作。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2.2.6　人民银行分支机构负责开展金融风险监测与评估，牵头做好区域性系统性金融风险防范和化解工作，维护金融稳定。</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2.2.7　当地银监部门负责指导银行业金融机构等做好风险防控，协调银行业金融机构配合开展风险处置工作，牵头做好银行贷款、信托、非法集资等风险处置工作。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2.2.8　其他部门（单位）负责本部门（单位）债务风险管理和防范工作，落实政府性债务偿还化解责任。</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　预警和预防机制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3.1　预警监测</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财政部建立地方政府性债务风险评估和预警机制，定期评估各地区政府性债务风险情况并作出预警，风险评估和预警结果应当及时通报有关部门和省级政府。省级财政部门应当按照财政部相关规定做好本地区政府性债务风险评估和预警工作，及时实施风险评估和预警，做到风险早发现、早报告、早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此外，地方各级政府及其财政部门应当将政府及其部门与其他主体签署协议承诺用以后年度财政资金支付的事项，纳入监测范围，防范财政风险。</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地方各级政府应当定期排查风险隐患，防患于未然。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3.2　信息报告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地方各级政府应当建立地方政府性债务风险事件报告制度，发现问题及时报告，不得瞒报、迟报、漏报、谎报。</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3.2.1　政府债务风险事件报告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设区的市级、县级政府（以下统称市县政府）预计无法按期足额支付到期政府债务本息的，应当提前2个月以上向上级或省级政府报告，并抄送上级或省级财政部门。发生突发或重大情况，县级政府可以直接向省级政府报告，并抄送省级财政部门。省级财政部门接报后应当立即将相关情况通报债务应急领导小组各成员单位，并抄送财政部驻本地区财政监察专员办事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3.2.2　或有债务风险事件报告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或有债务的债务人预计无法按期足额支付或有债务本息的，应当提前1个月以上向本级主管部门和财政部门报告，经财政部门会同主管部门确认无力履行法定代偿责任或必要救助责任后，由本级政府向上级或省级政府报告，并抄送上级或省级财政部门。遇突发或重大事件，县级政府可以直接向省级政府报告，并抄送省级财政部门。省级财政部门接报后应当立即将相关情况通报债务应急领导小组各成员单位，并抄送财政部驻本地区财政监察专员办事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3.2.3　报告内容</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包括预计发生违约的地方政府性债务类别、债务人、债权人、期限、本息、原定偿还安排等基本信息，风险发生原因，事态发展趋势，可能造成的损失，已采取及拟采取的应对措施等。</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3.2.4　报告方式</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一般采取书面报告形式。紧急情况下可采取先电话报告、后书面报告的方式。</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3.3　分类处置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3.3.1　地方政府债券</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对地方政府债券，地方政府依法承担全部偿还责任。</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3.3.2　非政府债券形式的存量政府债务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对非政府债券形式的存量政府债务，经地方政府、债权人、企事业单位等债务人协商一致，可以按照《中华人民共和国合同法》第八十四条等有关规定分类处理：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（1）债权人同意在规定期限内置换为政府债券的，地方政府不得拒绝相关偿还义务转移，并应承担全部偿还责任。地方政府应当通过预算安排、资产处置等方式积极筹措资金，偿还到期政府债务本息。</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（2）债权人不同意在规定期限内置换为政府债券的，仍由原债务人依法承担偿债责任，对应的地方政府债务限额由中央统一收回。地方政府作为出资人，在出资范围内承担有限责任。</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3.3.3　存量或有债务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存量担保债务。存量担保债务不属于政府债务。按照《中华人民共和国担保法》及其司法解释规定，除外国政府和国际经济组织贷款外，地方政府及其部门出具的担保合同无效，地方政府及其部门对其不承担偿债责任，仅依法承担适当民事赔偿责任，但最多不应超过债务人不能清偿部分的二分之一；担保额小于债务人不能清偿部分二分之一的，以担保额为限。</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具体金额由地方政府、债权人、债务人参照政府承诺担保金额、财政承受能力等协商确定。</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（2）存量救助债务。存量救助债务不属于政府债务。对政府可能承担一定救助责任的存量或有债务，地方政府可以根据具体情况实施救助，但保留对债务人的追偿权。</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3.3.4　新发生的违法违规担保债务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对2014年修订的《中华人民共和国预算法》施行以后地方政府违法违规提供担保承诺的债务，参照3.3.3第（1）项依法处理。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3.3.5　其他事项</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地方政府性债务风险分类处置的具体办法由财政部另行制定，作为本预案的配套文件，经国务院同意后实施。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3.4　债务风险事件级别</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按照政府性债务风险事件的性质、影响范围和危害程度等情况，划分为Ⅰ级（特大）、Ⅱ级（重大）、Ⅲ级（较大）、Ⅳ级（一般）四个等级。当政府性债务风险事件等级指标有交叉、难以判定级别时，按照较高一级处置，防止风险扩散；当政府性债务风险事件等级随时间推移有所上升时，按照升级后的级别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政府性债务风险事件监测主体为省级、设区的市级、县级政府。经济开发区管委会等县级以上政府派出机构的政府性债务风险事件按照行政隶属关系由所属政府负责监测。</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3.4.1　Ⅰ级（特大）债务风险事件，是指出现下列情形之一：</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（1）省级政府发行的地方政府债券到期本息兑付出现违约；</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（2）省级或全省（区、市）15%以上的市县政府无法偿还地方政府债务本息，或者因偿还政府债务本息导致无法保障必要的基本民生支出和政府有效运转支出；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（3）省级或全省（区、市）15%以上的市县政府无法履行或有债务的法定代偿责任或必要救助责任，或者因履行上述责任导致无法保障必要的基本民生支出和政府有效运转支出；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（4）全省（区、市）地方政府债务本金违约金额占同期本地区政府债务应偿本金10%以上，或者利息违约金额占同期应付利息10%以上；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（5）省级政府需要认定为Ⅰ级债务风险事件的其他情形。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3.4.2　Ⅱ级（重大）债务风险事件，是指出现下列情形之一：</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（1）省级政府连续3次以上出现地方政府债券发行流标现象；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（2）全省（区、市）或设区的市级政府辖区内10%以上（未达到15%）的市级或县级政府无法支付地方政府债务本息，或者因兑付政府债务本息导致无法保障必要的基本民生支出和政府有效运转支出；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全省（区、市）或设区的市级政府辖区内10%以上（未达到15%）的市级或县级政府无法履行或有债务的法定代偿责任或必要救助责任，或者因履行上述责任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（4）县级以上地方政府债务本金违约金额占同期本地区政府债务应偿本金5%以上（未达到10%），或者利息违约金额占同期应付利息5%以上（未达到10%）；</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（5）因到期政府债务违约，或者因政府无法履行或有债务的法定代偿责任或必要救助责任，造成重大群体性事件，影响极为恶劣；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（6）县级以上地方政府需要认定为Ⅱ级债务风险事件的其他情形。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3.4.3　Ⅲ级（较大）债务风险事件，是指出现下列情形之一：</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（1）全省（区、市）或设区的市级政府辖区内2个以上但未达到10%的市级或县级政府无法支付地方政府债务本息，或者因兑付政府债务本息导致无法保障必要的基本民生支出和政府有效运转支出；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全省（区、市）或设区的市级政府辖区内2个以上但未达到10%的市级或县级政府无法履行或有债务的法定代偿责任或必要救助责任，或者因履行上述责任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（3）县级以上地方政府债务本金违约金额占同期本地区政府债务应偿本金1%以上（未达到5%），或者利息违约金额占同期应付利息1%以上（未达到5%）；</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（4）因到期政府债务违约，或者因政府无法履行或有债务的法定代偿责任或必要救助责任，造成较大群体性事件；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（5）县级以上地方政府需要认定为Ⅲ级债务风险事件的其他情形。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3.4.4　Ⅳ级（一般）债务风险事件，是指出现下列情形之一：</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（1）单个市县政府本级偿还政府债务本息实质性违约，或因兑付政府债务本息导致无法保障必要的基本民生支出和政府有效运转支出；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（2）单个市县政府本级无法履行或有债务的法定代偿责任或必要救助责任，或因履行上述责任导致无法保障必要的基本民生支出和政府有效运转支出；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（3）因到期政府债务违约，或者因政府无法履行或有债务的法定代偿责任或必要救助责任，造成群体性事件；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（4）县级以上地方政府需要认定为Ⅳ级债务风险事件的其他情形。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　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4.1　分级响应和应急处置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对其举借的债务负有偿还责任，中央实行不救助原则。地方政府要加强日常风险管理，按照财政部《地方政府性债务风险分类处置指南》，妥善处理政府性债务偿还问题。同时，要加强财政资金流动性管理，避免出现因流动性管理不善导致政府性债务违约。对因无力偿还政府债务本息或无力承担法定代偿责任等引发风险事件的，根据债务风险等级，相应及时实行分级响应和应急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4.1.1　Ⅳ级债务风险事件应急响应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（1）相关市县债务管理领导小组应当转为债务应急领导小组，对风险事件进行研判，查找原因，明确责任，立足自身化解债务风险。</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①以一般公共预算收入作为偿债来源的一般债务违约的，在保障必要的基本民生支出和政府有效运转支出前提下，可以采取调减投资计划、统筹各类结余结转资金、调入政府性基金或国有资本经营预算收入、动用预算稳定调节基金或预备费等方式筹措资金偿还，必要时可以处置政</w:t>
      </w:r>
      <w:r w:rsidRPr="008C799C">
        <w:rPr>
          <w:rFonts w:ascii="微软雅黑" w:eastAsia="微软雅黑" w:hAnsi="微软雅黑" w:cs="宋体" w:hint="eastAsia"/>
          <w:color w:val="333333"/>
          <w:kern w:val="0"/>
          <w:sz w:val="27"/>
          <w:szCs w:val="27"/>
        </w:rPr>
        <w:lastRenderedPageBreak/>
        <w:t>府资产。对政府提供担保或承担必要救助责任的或有债务，政府无力承担相应责任时，也按照上述原则处理。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②以政府性基金收入作为偿债来源的专项债务，因政府性基金收入不足造成债务违约的，在保障部门基本运转和履职需要的前提下，应当通过调入项目运营收入、调减债务单位行业主管部门投资计划、处置部门和债务单位可变现资产、调整部门预算支出结构、扣减部门经费等方式筹集资金偿还债务。对部门提供担保形成的或有债务，政府无力承担相应责任时，也按照上述原则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③因债权人不同意变更债权债务关系或不同意置换，导致存量政府债务无法在规定期限内依法转换成政府债券的，原有债权债务关系不变，由债务单位通过安排单位自有资金、处置资产等方式自筹资金偿还。若债务单位无力自筹资金偿还，可按市场化原则与债权人协商进行债务重组或依法破产，政府在出资范围内承担有限责任。对政府或有债务，也按照上述原则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④市县政府出现债务风险事件后，在恢复正常偿债能力前，除国务院确定的重点项目外，原则上不得新上政府投资项目。在建政府投资项目能够缓建的，可以暂停建设，腾出资金依法用于偿债。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市县债务管理领导小组或债务应急领导小组认为确有必要时，可以启动财政重整计划。市县政府年度一般债务付息支出超过当年一般公共预算支出10%的，或者专项债务付息支出超过当年政府性基金预算支出10%的，债务管理领导小组或债务应急领导小组必须启动财政重整计划。</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（3）市县政府应当将债务风险应急处置情况向省级政府报备。</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4.1.2　Ⅲ级债务风险事件应急响应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除采取Ⅳ级债务风险事件应对措施外，还应当采取以下升级应对措施：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（1）相关地区债务管理领导小组应当转为债务应急领导小组，将债务风险情况和应急处置方案专题向上级债务管理领导小组报告。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（2）上级债务管理领导小组应当密切关注事态变化，加强政策指导，及时组织召开专题会议通报风险处置情况，必要时可以成立工作组进驻风险地区，指导支持债务风险处置工作。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（3）市县政府偿还省级政府代发的到期地方政府债券（包括一般债券和专项债券）有困难的，可以申请由上级财政先行代垫偿还，事后扣回。</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（4）市县政府应当将债务风险应急处置进展情况和处置结果上报省级政府，并抄送省级财政部门。</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4.1.3　Ⅱ级债务风险事件应急响应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除采取Ⅳ级、Ⅲ级债务风险事件应对措施外，还应当采取以下升级应对措施：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（1）省级债务管理领导小组应当转为债务应急领导小组，汇总有关情况向省级政府报告，动态监控风险事件进展，指导和支持市县政府化解债务风险。</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（2）市县政府统筹本级财力仍无法解决到期债务偿债缺口并且影响政府正常运转或经济社会稳定的，可以向省级债务应急领导小组申请</w:t>
      </w:r>
      <w:r w:rsidRPr="008C799C">
        <w:rPr>
          <w:rFonts w:ascii="微软雅黑" w:eastAsia="微软雅黑" w:hAnsi="微软雅黑" w:cs="宋体" w:hint="eastAsia"/>
          <w:color w:val="333333"/>
          <w:kern w:val="0"/>
          <w:sz w:val="27"/>
          <w:szCs w:val="27"/>
        </w:rPr>
        <w:lastRenderedPageBreak/>
        <w:t>救助，申请内容主要包括债务风险情况说明、本级政府应急方案及已采取的应急措施、需上级政府帮助解决的事项等。</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（3）省级债务应急领导小组对市县政府救助申请提出审核意见，报省级政府批准后实施，并立即启动责任追究程序。</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（4）省级政府适当扣减Ⅱ级债务风险事件涉及市县新增地方政府债券规模。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省级债务应急领导小组督促市县政府落实债务风险应急处置措施，跟踪债务风险化解情况。必要时，省级政府可以成立工作组进驻风险地区，帮助或者接管风险地区财政管理，帮助制定或者组织实施风险地区财政重整计划。</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4.1.4　Ⅰ级债务风险事件应急响应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除采取Ⅳ级、Ⅲ级、Ⅱ级债务风险事件应对措施外，还应当采取以下升级应对措施：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（1）省级债务应急领导小组应当及时将债务风险情况和应急处置方案向财政部报告，必要时由财政部向国务院报告。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（2）省级政府偿还到期地方政府债券本息有困难的，国务院可以对其提前调度部分国库资金周转，事后扣回。必要时国务院可以成立工作组进驻风险地区，予以指导和组织协调。</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（3）市县政府建立债务风险处置信息定期向省级债务应急领导小组报告的机制，重大事项必须立即报告。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（4）省级债务应急领导小组报请省级政府通报Ⅰ级债务风险事件涉及市县名单，启动债务风险责任追究机制。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（5）省级政府暂停Ⅰ级债务风险事件涉及市县新增地方政府债券的资格。</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4.2　地方政府财政重整计划</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实施地方政府财政重整计划必须依法履行相关程序，保障必要的基本民生支出和政府有效运转支出，要注重与金融政策协调，加强与金融机构的沟通，不得因为偿还债务本息影响政府基本公共服务的提供。财政重整计划包括但不限于以下内容：</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拓宽财源渠道。依法加强税收征管，加大清缴欠税欠费力度，确保应收尽收。落实国有资源有偿使用制度，增加政府资源性收入。除法律、行政法规和国务院规定的财税优惠政策之外，可以暂停其他财税优惠政策，待风险解除后再行恢复。</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优化支出结构。财政重整期内，除必要的基本民生支出和政府有效运转支出外，视债务风险事件等级，本级政府其他财政支出应当保持“零增长”或者大力压减。一是压缩基本建设支出。不得新批政府投资计划，不得新上政府投资项目；不得设立各类需要政府出资的投资基金等，已设立的应当制定分年退出计划并严格落实。二是压缩政府公用经费。实行公务出国（境）、培训、公务接待等项目“零支出”，大力压缩政府咨询、差旅、劳务等各项支出。三是控制人员福利开支。机关事业单位暂停新增人员，必要时采取核减机构编制、人员等措施；暂停地方自行出台的机关事业单位各项补贴政策，压减直至取消编制外聘用人员支出。四是清理各类对企事业单位的补助补贴。暂停或取消地方出台的各类奖励、对企业的政策性补贴和贴息、非基本民生类补贴等。</w:t>
      </w:r>
      <w:r w:rsidRPr="008C799C">
        <w:rPr>
          <w:rFonts w:ascii="微软雅黑" w:eastAsia="微软雅黑" w:hAnsi="微软雅黑" w:cs="宋体" w:hint="eastAsia"/>
          <w:color w:val="333333"/>
          <w:kern w:val="0"/>
          <w:sz w:val="27"/>
          <w:szCs w:val="27"/>
        </w:rPr>
        <w:lastRenderedPageBreak/>
        <w:t>五是调整过高支出标准，优先保障国家出台的教育、社保、医疗、卫生等重大支出政策，地方支出政策标准不得超过国家统一标准。六是暂停土地出让收入各项政策性计提。土地出让收入扣除成本性支出后应全部用于偿还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（3）处置政府资产。指定机构统一接管政府及其部门拥有的各类经营性资产、行政事业单位资产、国有股权等，结合市场情况予以变现，多渠道筹集资金偿还债务。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申请省级救助。采取上述措施后，风险地区财政收支仍难以平衡的，可以向省级政府申请临时救助，包括但不限于：代偿部分政府债务，加大财政转移支付力度，减免部分专项转移支付配套资金。待财政重整计划实施结束后，由省级政府自行决定是否收回相关资金。</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加强预算审查。实施财政重整计划以后，相关市县政府涉及财政总预算、部门预算、重点支出和重大投资项目、政府债务等事项，在依法报本级人民代表大会或其常委会审查批准的同时，必须报上级政府备案。上级政府对下级政府报送备案的预算调整方案要加强审核评估，认为有不适当之处需要撤销批准预算的决议的，应当依法按程序提请本级人民代表大会常委会审议决定。</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（6）改进财政管理。相关市县政府应当实施中期财政规划管理，妥善安排财政收支预算，严格做好与化解政府性债务风险政策措施的衔接。</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4.3　舆论引导</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根据处置债务风险事件的需要，启动应急响应的地方政府或其债务风险应急领导小组应当及时跟踪和研判舆情，健全新闻发布制度，指定专门的新闻发言人，统一对外发布信息，正确引导舆论。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4.4　应急终止</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地方政府性债务风险得到缓解、控制，地方政府实现财政重整目标，经上级政府债务管理领导小组或债务应急领导小组同意，终止应急措施。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　后期处置</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5.1　债务风险事件应急处置记录及总结</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在债务风险事件应急处置过程中，相关地方政府应当详尽、具体、准确地做好工作记录，及时汇总、妥善保管有关文件资料。应急处置结束后，要及时形成书面总结，向本级人民代表大会常委会和上级政府报告。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5.2　评估分析</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债务风险事件应急处置结束后，有关地方政府及其财政部门要对债务风险事件应急处置情况进行评估。评估内容主要包括：债务风险事件形成原因、应急响应过程、应急处置措施、应急处置效果以及对今后债务管理的持续影响等。相关地区应当根据评估结果，及时总结经验教训，改进完善应急处置预案。</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　保障措施</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6.1　通信保障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启动应急响应的地方政府应当保持应急指挥联络畅通，有关部门应当指定联络员，提供单位地址、办公电话、手机、传真、电子邮箱等多种联系方式。</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6.2　人力保障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各地要加强地方政府性债务管理队伍建设，提高相关人员政策理论、日常管理、风险监测、应急处置、舆情应对等业务能力。启动应急响应的地方政府应当部署各有关部门安排人员具体落实相关工作。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6.3　资源保障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发生地方政府性债务风险事件的地方政府要统筹本级财政资金、政府及其部门资产、政府债权等可偿债资源，为偿还债务提供必要保障。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6.4　安全保障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应急处置过程中，对可能影响公共安全和社会稳定的事件，要提前防范、及时控制、妥善处理；遵守保密规定，对涉密信息要加强管理，严格控制知悉范围。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6.5　技术储备与保障</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债务应急领导小组可以根据需要，建立咨询机制，抽调有关专业人员组成债务风险事件应急专家组，参加应急处置工作，提供技术、法律等方面支持。</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6.6　责任追究</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6.6.1　违法违规责任范围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（1）违反《中华人民共和国预算法》、《中华人民共和国银行业监督管理法》等法律规定的下列行为：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政府债务余额超过经批准的本地区地方政府债务限额；</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政府及其部门通过发行地方政府债券以外的方式举借政府债务，包括但不限于通过企事业单位举借政府债务；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举借政府债务没有明确的偿还计划和稳定的偿还资金来源；</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政府或其部门违反法律规定，为单位和个人的债务提供担保；</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银行业金融机构违反法律、行政法规以及国家有关银行业监督管理规定的；</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政府债务资金没有依法用于公益性资本支出；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增加举借政府债务未列入预算调整方案报本级人民代表大会常委会批准；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未按规定对举借政府债务的情况和事项作出说明、未在法定期限内向社会公开；</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其他违反法律规定的行为。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（2）违反《国务院关于加强地方政府性债务管理的意见》（国发〔2014〕43号）等有关政策规定的下列行为：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政府及其部门在预算之外违法违规举借债务；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金融机构违法违规向地方政府提供融资，要求地方政府违法违规提供担保；</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政府及其部门挪用债务资金或违规改变债务资金用途；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政府及其部门恶意逃废债务；</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债务风险发生后，隐瞒、迟报或授意他人隐瞒、谎报有关情况；</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其他违反财政部等部门制度规定的行为。</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6.6.2　追究机制响应</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发生Ⅳ级以上地方政府性债务风险事件后，应当适时启动债务风险责任追究机制，地方政府应依法对相关责任人员进行行政问责；银监部门应对银行业金融机构相关责任人员依法追责。</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6.6.3　责任追究程序</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（1）省级债务管理领导小组组织有关部门，对发生地方政府性债务风险的市县政府开展专项调查或专项审计，核实认定债务风险责任，提出处理意见，形成调查或审计报告，报省级政府审定。</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（2）有关任免机关、监察机关、银监部门根据有关责任认定情况，依纪依法对相关责任单位和人员进行责任追究；对涉嫌犯罪的，移交司法机关进行处理。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3）省级政府应当将地方政府性债务风险处置纳入政绩考核范围。对实施财政重整的市县政府，视债务风险事件形成原因和时间等情况，追究有关人员的责任。属于在本届政府任期内举借债务形成风险事件的，在终止应急措施之前，政府主要领导同志不得重用或提拔；属于已经离任的政府领导责任的，应当依纪依法追究其责任。</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7　附则</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7.1　预案管理</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本预案由财政部制订，报国务院批准后实施。本预案实施后，财政部应会同有关部门组织宣传、培训，加强业务指导，并根据实施情况适时进行评估和修订。县级以上地方各级人民政府要结合实际制定当地债务风险应急处置预案。</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lastRenderedPageBreak/>
        <w:t>7.2　预案解释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本预案由财政部负责解释。</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7.3　预案实施时间</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本预案自印发之日起实施。</w:t>
      </w:r>
    </w:p>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Pr>
        <w:pStyle w:val="3"/>
        <w:jc w:val="center"/>
        <w:rPr>
          <w:sz w:val="30"/>
          <w:szCs w:val="30"/>
          <w:lang w:val="zh-CN"/>
        </w:rPr>
      </w:pPr>
      <w:bookmarkStart w:id="4" w:name="_Toc12864169"/>
      <w:r w:rsidRPr="008C799C">
        <w:rPr>
          <w:rFonts w:hint="eastAsia"/>
          <w:sz w:val="30"/>
          <w:szCs w:val="30"/>
          <w:lang w:val="zh-CN"/>
        </w:rPr>
        <w:lastRenderedPageBreak/>
        <w:t>国务院关于印发推进财政资金统筹适用方案的通知（国发〔</w:t>
      </w:r>
      <w:r w:rsidRPr="008C799C">
        <w:rPr>
          <w:rFonts w:hint="eastAsia"/>
          <w:sz w:val="30"/>
          <w:szCs w:val="30"/>
          <w:lang w:val="zh-CN"/>
        </w:rPr>
        <w:t>2015</w:t>
      </w:r>
      <w:r w:rsidRPr="008C799C">
        <w:rPr>
          <w:rFonts w:hint="eastAsia"/>
          <w:sz w:val="30"/>
          <w:szCs w:val="30"/>
          <w:lang w:val="zh-CN"/>
        </w:rPr>
        <w:t>〕</w:t>
      </w:r>
      <w:r w:rsidRPr="008C799C">
        <w:rPr>
          <w:rFonts w:hint="eastAsia"/>
          <w:sz w:val="30"/>
          <w:szCs w:val="30"/>
          <w:lang w:val="zh-CN"/>
        </w:rPr>
        <w:t>35</w:t>
      </w:r>
      <w:r w:rsidRPr="008C799C">
        <w:rPr>
          <w:rFonts w:hint="eastAsia"/>
          <w:sz w:val="30"/>
          <w:szCs w:val="30"/>
          <w:lang w:val="zh-CN"/>
        </w:rPr>
        <w:t>号）</w:t>
      </w:r>
      <w:bookmarkEnd w:id="4"/>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各省、自治区、直辖市人民政府，国务院各部委、各直属机构：</w:t>
      </w:r>
      <w:r w:rsidRPr="008C799C">
        <w:rPr>
          <w:rFonts w:ascii="微软雅黑" w:eastAsia="微软雅黑" w:hAnsi="微软雅黑" w:cs="宋体" w:hint="eastAsia"/>
          <w:color w:val="333333"/>
          <w:kern w:val="0"/>
          <w:sz w:val="27"/>
          <w:szCs w:val="27"/>
        </w:rPr>
        <w:br/>
        <w:t xml:space="preserve">　　现将《推进财政资金统筹使用方案》印发给你们，请认真贯彻落实。</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xml:space="preserve">　　　　　　　　　　　　　　　　　　　　　　　　　　　　　　国务院</w:t>
      </w:r>
      <w:r w:rsidRPr="008C799C">
        <w:rPr>
          <w:rFonts w:ascii="微软雅黑" w:eastAsia="微软雅黑" w:hAnsi="微软雅黑" w:cs="宋体" w:hint="eastAsia"/>
          <w:color w:val="333333"/>
          <w:kern w:val="0"/>
          <w:sz w:val="27"/>
          <w:szCs w:val="27"/>
        </w:rPr>
        <w:br/>
        <w:t xml:space="preserve">　　　　　　　　　　　　　　　　　　　　　　　　　　　 　2015年6月16日</w:t>
      </w:r>
      <w:r w:rsidRPr="008C799C">
        <w:rPr>
          <w:rFonts w:ascii="微软雅黑" w:eastAsia="微软雅黑" w:hAnsi="微软雅黑" w:cs="宋体" w:hint="eastAsia"/>
          <w:color w:val="333333"/>
          <w:kern w:val="0"/>
          <w:sz w:val="27"/>
          <w:szCs w:val="27"/>
        </w:rPr>
        <w:br/>
        <w:t xml:space="preserve">　　（此件公开发布）</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推进财政资金统筹使用方案</w:t>
      </w:r>
    </w:p>
    <w:p w:rsidR="008C799C" w:rsidRPr="008C799C" w:rsidRDefault="008C799C" w:rsidP="008C799C">
      <w:pPr>
        <w:widowControl/>
        <w:shd w:val="clear" w:color="auto" w:fill="FFFFFF"/>
        <w:ind w:firstLine="480"/>
        <w:rPr>
          <w:rFonts w:ascii="微软雅黑" w:eastAsia="微软雅黑" w:hAnsi="微软雅黑" w:cs="宋体"/>
          <w:color w:val="333333"/>
          <w:kern w:val="0"/>
          <w:sz w:val="27"/>
          <w:szCs w:val="27"/>
        </w:rPr>
      </w:pPr>
      <w:r w:rsidRPr="008C799C">
        <w:rPr>
          <w:rFonts w:ascii="微软雅黑" w:eastAsia="微软雅黑" w:hAnsi="微软雅黑" w:cs="宋体" w:hint="eastAsia"/>
          <w:color w:val="333333"/>
          <w:kern w:val="0"/>
          <w:sz w:val="27"/>
          <w:szCs w:val="27"/>
        </w:rPr>
        <w:t xml:space="preserve">　　为全面贯彻党的十八大和十八届二中、三中、四中全会精神，落实国务院决策部署，进一步优化财政资源配置，提高财政资金使用效益，完善预算管理制度，促进经济社会持续健康发展，按照预算法和国务院有关规定，制定本方案。</w:t>
      </w:r>
      <w:r w:rsidRPr="008C799C">
        <w:rPr>
          <w:rFonts w:ascii="微软雅黑" w:eastAsia="微软雅黑" w:hAnsi="微软雅黑" w:cs="宋体" w:hint="eastAsia"/>
          <w:color w:val="333333"/>
          <w:kern w:val="0"/>
          <w:sz w:val="27"/>
          <w:szCs w:val="27"/>
        </w:rPr>
        <w:br/>
        <w:t xml:space="preserve">　　一、总体目标和主要原则</w:t>
      </w:r>
      <w:r w:rsidRPr="008C799C">
        <w:rPr>
          <w:rFonts w:ascii="微软雅黑" w:eastAsia="微软雅黑" w:hAnsi="微软雅黑" w:cs="宋体" w:hint="eastAsia"/>
          <w:color w:val="333333"/>
          <w:kern w:val="0"/>
          <w:sz w:val="27"/>
          <w:szCs w:val="27"/>
        </w:rPr>
        <w:br/>
        <w:t xml:space="preserve">　　推进财政资金统筹使用，避免资金使用“碎片化”，盘活各领域“沉睡”的财政资金，把“零钱”化为“整钱”，统筹用于发展急需的重点领域和优先保障民生支出，增加资金有效供给，是创新宏观调控方式的重要内容，也是用足用活积极财政政策的关键举措。</w:t>
      </w:r>
      <w:r w:rsidRPr="008C799C">
        <w:rPr>
          <w:rFonts w:ascii="微软雅黑" w:eastAsia="微软雅黑" w:hAnsi="微软雅黑" w:cs="宋体" w:hint="eastAsia"/>
          <w:color w:val="333333"/>
          <w:kern w:val="0"/>
          <w:sz w:val="27"/>
          <w:szCs w:val="27"/>
        </w:rPr>
        <w:br/>
        <w:t xml:space="preserve">　　（一）总体目标。</w:t>
      </w:r>
      <w:r w:rsidRPr="008C799C">
        <w:rPr>
          <w:rFonts w:ascii="微软雅黑" w:eastAsia="微软雅黑" w:hAnsi="微软雅黑" w:cs="宋体" w:hint="eastAsia"/>
          <w:color w:val="333333"/>
          <w:kern w:val="0"/>
          <w:sz w:val="27"/>
          <w:szCs w:val="27"/>
        </w:rPr>
        <w:br/>
        <w:t xml:space="preserve">　　推进财政资金统筹使用要与深化财税体制改革结合起来，统筹考虑</w:t>
      </w:r>
      <w:r w:rsidRPr="008C799C">
        <w:rPr>
          <w:rFonts w:ascii="微软雅黑" w:eastAsia="微软雅黑" w:hAnsi="微软雅黑" w:cs="宋体" w:hint="eastAsia"/>
          <w:color w:val="333333"/>
          <w:kern w:val="0"/>
          <w:sz w:val="27"/>
          <w:szCs w:val="27"/>
        </w:rPr>
        <w:lastRenderedPageBreak/>
        <w:t>预算管理制度、中期财政规划、事权与支出责任划分等改革。以问题为导向，坚持改革创新，大力推进财政资金统筹使用，不断提高财政资金使用效益，促进经济社会持续健康发展。近期目标是：盘活各领域财政沉淀资金取得明显进展，初步建立财政资金统筹使用机制，促进稳增长、调结构。长远目标是：财政资金统筹使用机制更加成熟，将所有预算资金纳入财政部门统一分配，做到预算一个“盘子”、收入一个“笼子”、支出一个“口子”，促进财政资金优化配置，推动建立现代财政制度。</w:t>
      </w:r>
      <w:r w:rsidRPr="008C799C">
        <w:rPr>
          <w:rFonts w:ascii="微软雅黑" w:eastAsia="微软雅黑" w:hAnsi="微软雅黑" w:cs="宋体" w:hint="eastAsia"/>
          <w:color w:val="333333"/>
          <w:kern w:val="0"/>
          <w:sz w:val="27"/>
          <w:szCs w:val="27"/>
        </w:rPr>
        <w:br/>
        <w:t xml:space="preserve">　　（二）主要原则。</w:t>
      </w:r>
      <w:r w:rsidRPr="008C799C">
        <w:rPr>
          <w:rFonts w:ascii="微软雅黑" w:eastAsia="微软雅黑" w:hAnsi="微软雅黑" w:cs="宋体" w:hint="eastAsia"/>
          <w:color w:val="333333"/>
          <w:kern w:val="0"/>
          <w:sz w:val="27"/>
          <w:szCs w:val="27"/>
        </w:rPr>
        <w:br/>
        <w:t xml:space="preserve">　　全面统筹。通过统筹使用各类资金、盘活用好结转结余资金、加快预算资金下达执行等，构建起推进财政资金统筹使用的总体框架。</w:t>
      </w:r>
      <w:r w:rsidRPr="008C799C">
        <w:rPr>
          <w:rFonts w:ascii="微软雅黑" w:eastAsia="微软雅黑" w:hAnsi="微软雅黑" w:cs="宋体" w:hint="eastAsia"/>
          <w:color w:val="333333"/>
          <w:kern w:val="0"/>
          <w:sz w:val="27"/>
          <w:szCs w:val="27"/>
        </w:rPr>
        <w:br/>
        <w:t xml:space="preserve">　　分层推进。以项目、科目、部门、政府预算体系、跨年度预算、各类收入、增量与存量、编制与执行等为切入点，有序推进财政资金统筹使用。</w:t>
      </w:r>
      <w:r w:rsidRPr="008C799C">
        <w:rPr>
          <w:rFonts w:ascii="微软雅黑" w:eastAsia="微软雅黑" w:hAnsi="微软雅黑" w:cs="宋体" w:hint="eastAsia"/>
          <w:color w:val="333333"/>
          <w:kern w:val="0"/>
          <w:sz w:val="27"/>
          <w:szCs w:val="27"/>
        </w:rPr>
        <w:br/>
        <w:t xml:space="preserve">　　远近结合。既要立足当前，解决目前预算执行偏慢、财政存量资金规模居高不下的突出问题，把盘活的资金统筹安排使用；又要着眼长远，进一步加大各类资金整合力度，完善政府预算体系。</w:t>
      </w:r>
      <w:r w:rsidRPr="008C799C">
        <w:rPr>
          <w:rFonts w:ascii="微软雅黑" w:eastAsia="微软雅黑" w:hAnsi="微软雅黑" w:cs="宋体" w:hint="eastAsia"/>
          <w:color w:val="333333"/>
          <w:kern w:val="0"/>
          <w:sz w:val="27"/>
          <w:szCs w:val="27"/>
        </w:rPr>
        <w:br/>
        <w:t xml:space="preserve">　　改革创新。既要善于总结和推广已有的成功经验和做法，用改革创新方法推进财政资金统筹使用；又要通过推进财政资金统筹使用，促使各级政府和部门主动作为，推进简政放权、放管结合、转变政府职能。</w:t>
      </w:r>
      <w:r w:rsidRPr="008C799C">
        <w:rPr>
          <w:rFonts w:ascii="微软雅黑" w:eastAsia="微软雅黑" w:hAnsi="微软雅黑" w:cs="宋体" w:hint="eastAsia"/>
          <w:color w:val="333333"/>
          <w:kern w:val="0"/>
          <w:sz w:val="27"/>
          <w:szCs w:val="27"/>
        </w:rPr>
        <w:br/>
        <w:t xml:space="preserve">　　依法依规。既要严格按照预算法及有关法规规定，推进财政资金统筹使用；又要对地方先行先试予以必要授权，推动修改相关的预算资金管理办法。</w:t>
      </w:r>
      <w:r w:rsidRPr="008C799C">
        <w:rPr>
          <w:rFonts w:ascii="微软雅黑" w:eastAsia="微软雅黑" w:hAnsi="微软雅黑" w:cs="宋体" w:hint="eastAsia"/>
          <w:color w:val="333333"/>
          <w:kern w:val="0"/>
          <w:sz w:val="27"/>
          <w:szCs w:val="27"/>
        </w:rPr>
        <w:br/>
      </w:r>
      <w:r w:rsidRPr="008C799C">
        <w:rPr>
          <w:rFonts w:ascii="微软雅黑" w:eastAsia="微软雅黑" w:hAnsi="微软雅黑" w:cs="宋体" w:hint="eastAsia"/>
          <w:color w:val="333333"/>
          <w:kern w:val="0"/>
          <w:sz w:val="27"/>
          <w:szCs w:val="27"/>
        </w:rPr>
        <w:lastRenderedPageBreak/>
        <w:t xml:space="preserve">　　二、具体措施</w:t>
      </w:r>
      <w:r w:rsidRPr="008C799C">
        <w:rPr>
          <w:rFonts w:ascii="微软雅黑" w:eastAsia="微软雅黑" w:hAnsi="微软雅黑" w:cs="宋体" w:hint="eastAsia"/>
          <w:color w:val="333333"/>
          <w:kern w:val="0"/>
          <w:sz w:val="27"/>
          <w:szCs w:val="27"/>
        </w:rPr>
        <w:br/>
        <w:t xml:space="preserve">　　（一）推进项目资金的统筹使用。</w:t>
      </w:r>
      <w:r w:rsidRPr="008C799C">
        <w:rPr>
          <w:rFonts w:ascii="微软雅黑" w:eastAsia="微软雅黑" w:hAnsi="微软雅黑" w:cs="宋体" w:hint="eastAsia"/>
          <w:color w:val="333333"/>
          <w:kern w:val="0"/>
          <w:sz w:val="27"/>
          <w:szCs w:val="27"/>
        </w:rPr>
        <w:br/>
        <w:t xml:space="preserve">　　做好项目前期准备。提前做好项目可行性研究、评审、招投标、政府采购等前期准备工作，确保预算一旦批复或下达，资金就能实际使用。</w:t>
      </w:r>
      <w:r w:rsidRPr="008C799C">
        <w:rPr>
          <w:rFonts w:ascii="微软雅黑" w:eastAsia="微软雅黑" w:hAnsi="微软雅黑" w:cs="宋体" w:hint="eastAsia"/>
          <w:color w:val="333333"/>
          <w:kern w:val="0"/>
          <w:sz w:val="27"/>
          <w:szCs w:val="27"/>
        </w:rPr>
        <w:br/>
        <w:t xml:space="preserve">　　加快项目预算批复和下达。预算经同级人大批准后，要按照规定时间及时批复、下达并拨付资金。加快据实结算项目下达进度，一般采取当年列入部门预算或上半年预拨、下年清算的方式。强化年度预算理念，项目跨年度实施的，要根据资金需求情况分年下达预算。</w:t>
      </w:r>
      <w:r w:rsidRPr="008C799C">
        <w:rPr>
          <w:rFonts w:ascii="微软雅黑" w:eastAsia="微软雅黑" w:hAnsi="微软雅黑" w:cs="宋体" w:hint="eastAsia"/>
          <w:color w:val="333333"/>
          <w:kern w:val="0"/>
          <w:sz w:val="27"/>
          <w:szCs w:val="27"/>
        </w:rPr>
        <w:br/>
        <w:t xml:space="preserve">　　建立项目动态调整机制。实时跟踪了解项目执行情况，项目预算执行进度较慢的，同级财政可按一定比例收回资金，统筹用于经济社会发展急需资金支持的领域。</w:t>
      </w:r>
      <w:r w:rsidRPr="008C799C">
        <w:rPr>
          <w:rFonts w:ascii="微软雅黑" w:eastAsia="微软雅黑" w:hAnsi="微软雅黑" w:cs="宋体" w:hint="eastAsia"/>
          <w:color w:val="333333"/>
          <w:kern w:val="0"/>
          <w:sz w:val="27"/>
          <w:szCs w:val="27"/>
        </w:rPr>
        <w:br/>
        <w:t xml:space="preserve">　　加强项目库管理。发挥项目库的基础支撑作用，对没有进入项目库的项目一般不得安排预算；规范项目设置，做细做实项目库，全面反映项目的执行单位、历年预算安排、结转结余资金、绩效评价结果等情况；实施项目全周期滚动管理，逐步完善项目退出机制。</w:t>
      </w:r>
      <w:r w:rsidRPr="008C799C">
        <w:rPr>
          <w:rFonts w:ascii="微软雅黑" w:eastAsia="微软雅黑" w:hAnsi="微软雅黑" w:cs="宋体" w:hint="eastAsia"/>
          <w:color w:val="333333"/>
          <w:kern w:val="0"/>
          <w:sz w:val="27"/>
          <w:szCs w:val="27"/>
        </w:rPr>
        <w:br/>
        <w:t xml:space="preserve">　　（二）推进重点科目资金的统筹使用。</w:t>
      </w:r>
      <w:r w:rsidRPr="008C799C">
        <w:rPr>
          <w:rFonts w:ascii="微软雅黑" w:eastAsia="微软雅黑" w:hAnsi="微软雅黑" w:cs="宋体" w:hint="eastAsia"/>
          <w:color w:val="333333"/>
          <w:kern w:val="0"/>
          <w:sz w:val="27"/>
          <w:szCs w:val="27"/>
        </w:rPr>
        <w:br/>
        <w:t xml:space="preserve">　　重点推进科技、教育、农业、节能环保、医疗卫生等重点科目资金的统筹，既要统筹安排当年预算资金，也要加快消化历年结转结余资金。</w:t>
      </w:r>
      <w:r w:rsidRPr="008C799C">
        <w:rPr>
          <w:rFonts w:ascii="微软雅黑" w:eastAsia="微软雅黑" w:hAnsi="微软雅黑" w:cs="宋体" w:hint="eastAsia"/>
          <w:color w:val="333333"/>
          <w:kern w:val="0"/>
          <w:sz w:val="27"/>
          <w:szCs w:val="27"/>
        </w:rPr>
        <w:br/>
        <w:t xml:space="preserve">　　加快推进科技资金优化整合。建立公开统一的国家科技管理平台，加快推进将目前分散在各部门实行公开竞争方式的科技计划（专项、基金等），优化整合为国家自然科学基金、国家科技重大专项、国家重点研发计划、技术创新引导专项（基金）、基地和人才专项等五类。</w:t>
      </w:r>
      <w:r w:rsidRPr="008C799C">
        <w:rPr>
          <w:rFonts w:ascii="微软雅黑" w:eastAsia="微软雅黑" w:hAnsi="微软雅黑" w:cs="宋体" w:hint="eastAsia"/>
          <w:color w:val="333333"/>
          <w:kern w:val="0"/>
          <w:sz w:val="27"/>
          <w:szCs w:val="27"/>
        </w:rPr>
        <w:br/>
      </w:r>
      <w:r w:rsidRPr="008C799C">
        <w:rPr>
          <w:rFonts w:ascii="微软雅黑" w:eastAsia="微软雅黑" w:hAnsi="微软雅黑" w:cs="宋体" w:hint="eastAsia"/>
          <w:color w:val="333333"/>
          <w:kern w:val="0"/>
          <w:sz w:val="27"/>
          <w:szCs w:val="27"/>
        </w:rPr>
        <w:lastRenderedPageBreak/>
        <w:t xml:space="preserve">　　推进教育资金优化整合。按照事权与支出责任相匹配的原则，优化各级政府教育资金支出方向。新增教育经费主要向边远、贫困、民族地区倾斜，逐步缩小区域、城乡、校际差距，促进教育公平。</w:t>
      </w:r>
      <w:r w:rsidRPr="008C799C">
        <w:rPr>
          <w:rFonts w:ascii="微软雅黑" w:eastAsia="微软雅黑" w:hAnsi="微软雅黑" w:cs="宋体" w:hint="eastAsia"/>
          <w:color w:val="333333"/>
          <w:kern w:val="0"/>
          <w:sz w:val="27"/>
          <w:szCs w:val="27"/>
        </w:rPr>
        <w:br/>
        <w:t xml:space="preserve">　　推进节能环保资金优化整合。按照加快推进生态文明建设总体要求，将现有节能环保领域资金按照节能减排、环境监测监察、大气污染防治、水污染防治、土壤环境修复治理、生态恢复保护等六类进行统筹整合。</w:t>
      </w:r>
      <w:r w:rsidRPr="008C799C">
        <w:rPr>
          <w:rFonts w:ascii="微软雅黑" w:eastAsia="微软雅黑" w:hAnsi="微软雅黑" w:cs="宋体" w:hint="eastAsia"/>
          <w:color w:val="333333"/>
          <w:kern w:val="0"/>
          <w:sz w:val="27"/>
          <w:szCs w:val="27"/>
        </w:rPr>
        <w:br/>
        <w:t xml:space="preserve">　　推进涉农资金优化整合。进一步深入推进各个层面的涉农资金整合统筹，逐步将涉农资金整合为农业综合发展、农业生产发展、水利发展、林业改革发展、农村社会发展、扶贫开发等六类，突出创新涉农资金管理使用机制。</w:t>
      </w:r>
      <w:r w:rsidRPr="008C799C">
        <w:rPr>
          <w:rFonts w:ascii="微软雅黑" w:eastAsia="微软雅黑" w:hAnsi="微软雅黑" w:cs="宋体" w:hint="eastAsia"/>
          <w:color w:val="333333"/>
          <w:kern w:val="0"/>
          <w:sz w:val="27"/>
          <w:szCs w:val="27"/>
        </w:rPr>
        <w:br/>
        <w:t xml:space="preserve">　　推进医疗卫生资金优化整合。逐步将医疗卫生领域资金整合为医疗保障、公共卫生、医疗服务等三类。将新型农村合作医疗和城镇居民医疗保险补助资金整合为城乡居民医疗保险补助资金，并实行统一管理。尽快推进计划生育服务和公共卫生服务项目资金整合，进一步优化支出结构，重点支持基本公共卫生、重大疾病预防控制、妇幼健康、计划生育、食品药品安全等领域。</w:t>
      </w:r>
      <w:r w:rsidRPr="008C799C">
        <w:rPr>
          <w:rFonts w:ascii="微软雅黑" w:eastAsia="微软雅黑" w:hAnsi="微软雅黑" w:cs="宋体" w:hint="eastAsia"/>
          <w:color w:val="333333"/>
          <w:kern w:val="0"/>
          <w:sz w:val="27"/>
          <w:szCs w:val="27"/>
        </w:rPr>
        <w:br/>
        <w:t xml:space="preserve">　　推动修订重点支出挂钩相关法律。推动尽快修订重点支出同财政收支增幅或生产总值挂钩事项的相关规定，对相关领域支出根据推进改革的需要和确需保障的内容统筹安排，优先保障，不再采取先确定支出总额再安排具体项目的办法。</w:t>
      </w:r>
      <w:r w:rsidRPr="008C799C">
        <w:rPr>
          <w:rFonts w:ascii="微软雅黑" w:eastAsia="微软雅黑" w:hAnsi="微软雅黑" w:cs="宋体" w:hint="eastAsia"/>
          <w:color w:val="333333"/>
          <w:kern w:val="0"/>
          <w:sz w:val="27"/>
          <w:szCs w:val="27"/>
        </w:rPr>
        <w:br/>
        <w:t xml:space="preserve">　　（三）推进部门资金的统筹使用。</w:t>
      </w:r>
      <w:r w:rsidRPr="008C799C">
        <w:rPr>
          <w:rFonts w:ascii="微软雅黑" w:eastAsia="微软雅黑" w:hAnsi="微软雅黑" w:cs="宋体" w:hint="eastAsia"/>
          <w:color w:val="333333"/>
          <w:kern w:val="0"/>
          <w:sz w:val="27"/>
          <w:szCs w:val="27"/>
        </w:rPr>
        <w:br/>
        <w:t xml:space="preserve">　　推进统一预算分配权。对中央基建投资、中央科技资金等切块管理</w:t>
      </w:r>
      <w:r w:rsidRPr="008C799C">
        <w:rPr>
          <w:rFonts w:ascii="微软雅黑" w:eastAsia="微软雅黑" w:hAnsi="微软雅黑" w:cs="宋体" w:hint="eastAsia"/>
          <w:color w:val="333333"/>
          <w:kern w:val="0"/>
          <w:sz w:val="27"/>
          <w:szCs w:val="27"/>
        </w:rPr>
        <w:lastRenderedPageBreak/>
        <w:t>的资金，应加强与其他财政资金的统筹协调，按照统一的预算管理流程进行编制。对中央基建投资、中央科技资金安排支出的项目，其他财政资金可不再安排或减少安排，避免重复安排支出和固化投向。对少量的中央基建投资、中央科技资金和其他财政资金都安排支出的项目，应制定统一的资金管理办法，实行统一的资金分配方式。</w:t>
      </w:r>
      <w:r w:rsidRPr="008C799C">
        <w:rPr>
          <w:rFonts w:ascii="微软雅黑" w:eastAsia="微软雅黑" w:hAnsi="微软雅黑" w:cs="宋体" w:hint="eastAsia"/>
          <w:color w:val="333333"/>
          <w:kern w:val="0"/>
          <w:sz w:val="27"/>
          <w:szCs w:val="27"/>
        </w:rPr>
        <w:br/>
        <w:t xml:space="preserve">　　推进部门内部资金的统筹使用。厘清基本支出和项目支出的内涵界限，除经费自理事业单位外，逐步取消项目支出中用于本部门编制内人员经费的支出。严格控制每个部门管理的专项资金项目个数，在调整优化政府支出功能分类科目的基础上，项级科目下一般不再拆分成不同的专项资金。</w:t>
      </w:r>
      <w:r w:rsidRPr="008C799C">
        <w:rPr>
          <w:rFonts w:ascii="微软雅黑" w:eastAsia="微软雅黑" w:hAnsi="微软雅黑" w:cs="宋体" w:hint="eastAsia"/>
          <w:color w:val="333333"/>
          <w:kern w:val="0"/>
          <w:sz w:val="27"/>
          <w:szCs w:val="27"/>
        </w:rPr>
        <w:br/>
        <w:t xml:space="preserve">　　推进跨部门资金的统筹使用。加强跨部门资金的清理整合，对同一工作事项，原则上应按照部门职责分工，明确由一个部门负责，资金相应列入其部门预算；确需分解为由多个部门负责的，应按照项目和资金性质明确牵头部门，制定统一的资金管理办法，并按照部门预算管理规定分别列入各自部门预算，减少部门间横向分配资金。</w:t>
      </w:r>
      <w:r w:rsidRPr="008C799C">
        <w:rPr>
          <w:rFonts w:ascii="微软雅黑" w:eastAsia="微软雅黑" w:hAnsi="微软雅黑" w:cs="宋体" w:hint="eastAsia"/>
          <w:color w:val="333333"/>
          <w:kern w:val="0"/>
          <w:sz w:val="27"/>
          <w:szCs w:val="27"/>
        </w:rPr>
        <w:br/>
        <w:t xml:space="preserve">　　推进部门职责调整和整合。深化机构改革，理顺部门间的职责划分，优化政府机构职能配置和工作流程，加强政府监管，更好发挥政府作用，创造公平竞争的市场环境。</w:t>
      </w:r>
      <w:r w:rsidRPr="008C799C">
        <w:rPr>
          <w:rFonts w:ascii="微软雅黑" w:eastAsia="微软雅黑" w:hAnsi="微软雅黑" w:cs="宋体" w:hint="eastAsia"/>
          <w:color w:val="333333"/>
          <w:kern w:val="0"/>
          <w:sz w:val="27"/>
          <w:szCs w:val="27"/>
        </w:rPr>
        <w:br/>
        <w:t xml:space="preserve">　　（四）推进政府预算体系的统筹协调。</w:t>
      </w:r>
      <w:r w:rsidRPr="008C799C">
        <w:rPr>
          <w:rFonts w:ascii="微软雅黑" w:eastAsia="微软雅黑" w:hAnsi="微软雅黑" w:cs="宋体" w:hint="eastAsia"/>
          <w:color w:val="333333"/>
          <w:kern w:val="0"/>
          <w:sz w:val="27"/>
          <w:szCs w:val="27"/>
        </w:rPr>
        <w:br/>
        <w:t xml:space="preserve">　　加大政府性基金预算转列一般公共预算的力度。完善政府预算体系，对政府性基金预算中未列入政府性基金目录清单的收入项目，除国务院批准的个别事项外，三年内逐步调整转列一般公共预算，并统筹使用。</w:t>
      </w:r>
      <w:r w:rsidRPr="008C799C">
        <w:rPr>
          <w:rFonts w:ascii="微软雅黑" w:eastAsia="微软雅黑" w:hAnsi="微软雅黑" w:cs="宋体" w:hint="eastAsia"/>
          <w:color w:val="333333"/>
          <w:kern w:val="0"/>
          <w:sz w:val="27"/>
          <w:szCs w:val="27"/>
        </w:rPr>
        <w:lastRenderedPageBreak/>
        <w:t>从2016年1月1日起，将水土保持补偿费、政府住房基金、无线电频率占用费、铁路资产变现收入、电力改革预留资产变现收入等五项基金转列一般公共预算。上述基金转列后，支出仍主要用于或专项用于安排相关支出，且收入规模增加的，支出规模原则上相应增加。</w:t>
      </w:r>
      <w:r w:rsidRPr="008C799C">
        <w:rPr>
          <w:rFonts w:ascii="微软雅黑" w:eastAsia="微软雅黑" w:hAnsi="微软雅黑" w:cs="宋体" w:hint="eastAsia"/>
          <w:color w:val="333333"/>
          <w:kern w:val="0"/>
          <w:sz w:val="27"/>
          <w:szCs w:val="27"/>
        </w:rPr>
        <w:br/>
        <w:t xml:space="preserve">　　加大政府性基金预算调入一般公共预算的力度。暂时保留在政府性基金预算管理的资金，与一般公共预算投向类似的，应调入一般公共预算统筹使用，或制定统一的资金管理办法，实行统一的资金分配方式。对政府性基金预算结转资金规模超过该项基金当年收入30%的部分，应补充预算稳定调节基金统筹使用。</w:t>
      </w:r>
      <w:r w:rsidRPr="008C799C">
        <w:rPr>
          <w:rFonts w:ascii="微软雅黑" w:eastAsia="微软雅黑" w:hAnsi="微软雅黑" w:cs="宋体" w:hint="eastAsia"/>
          <w:color w:val="333333"/>
          <w:kern w:val="0"/>
          <w:sz w:val="27"/>
          <w:szCs w:val="27"/>
        </w:rPr>
        <w:br/>
        <w:t xml:space="preserve">　　推进国有资本经营预算与一般公共预算的统筹协调。加大国有资本经营预算调入一般公共预算的力度，2016年调入比例达到19%，并逐年提高调入比例。除调入一般公共预算外，国有资本经营预算支出范围限定用于解决国有企业历史遗留问题及相关改革成本支出、对国有企业的资本金注入及国有企业政策性补贴等方面。一般公共预算安排用于这方面的资金逐步退出。</w:t>
      </w:r>
      <w:r w:rsidRPr="008C799C">
        <w:rPr>
          <w:rFonts w:ascii="微软雅黑" w:eastAsia="微软雅黑" w:hAnsi="微软雅黑" w:cs="宋体" w:hint="eastAsia"/>
          <w:color w:val="333333"/>
          <w:kern w:val="0"/>
          <w:sz w:val="27"/>
          <w:szCs w:val="27"/>
        </w:rPr>
        <w:br/>
        <w:t xml:space="preserve">　　推进专项收入统筹使用。三年内逐步取消一般公共预算中以收定支的规定，2016年先行取消城市维护建设税以及矿产资源补偿费、探矿权采矿权使用费和价款、草原植被恢复费、海域使用金等专项收入专款专用，相应推动修改法律法规，对相关领域支出统筹安排保障。新出台的税收收入或非税收入政策，一般不得规定以收定支、专款专用。</w:t>
      </w:r>
      <w:r w:rsidRPr="008C799C">
        <w:rPr>
          <w:rFonts w:ascii="微软雅黑" w:eastAsia="微软雅黑" w:hAnsi="微软雅黑" w:cs="宋体" w:hint="eastAsia"/>
          <w:color w:val="333333"/>
          <w:kern w:val="0"/>
          <w:sz w:val="27"/>
          <w:szCs w:val="27"/>
        </w:rPr>
        <w:br/>
        <w:t xml:space="preserve">　　（五）推进跨年度预算的统筹协调。</w:t>
      </w:r>
      <w:r w:rsidRPr="008C799C">
        <w:rPr>
          <w:rFonts w:ascii="微软雅黑" w:eastAsia="微软雅黑" w:hAnsi="微软雅黑" w:cs="宋体" w:hint="eastAsia"/>
          <w:color w:val="333333"/>
          <w:kern w:val="0"/>
          <w:sz w:val="27"/>
          <w:szCs w:val="27"/>
        </w:rPr>
        <w:br/>
        <w:t xml:space="preserve">　　建立跨年度预算平衡机制。一般公共预算的结余资金，应当补充预</w:t>
      </w:r>
      <w:r w:rsidRPr="008C799C">
        <w:rPr>
          <w:rFonts w:ascii="微软雅黑" w:eastAsia="微软雅黑" w:hAnsi="微软雅黑" w:cs="宋体" w:hint="eastAsia"/>
          <w:color w:val="333333"/>
          <w:kern w:val="0"/>
          <w:sz w:val="27"/>
          <w:szCs w:val="27"/>
        </w:rPr>
        <w:lastRenderedPageBreak/>
        <w:t>算稳定调节基金。一般公共预算执行中如出现超收，超收收入用于冲减赤字、化解政府债务或补充预算稳定调节基金；如出现短收，通过调入预算稳定调节基金或其他预算资金、削减支出等方式弥补，如仍难以平衡，省级以上政府可以在报同级人大或其常委会批准后增列赤字实现平衡，市、县级政府可以向上级政府申请临时救助，并在下一年度预算中予以弥补。</w:t>
      </w:r>
      <w:r w:rsidRPr="008C799C">
        <w:rPr>
          <w:rFonts w:ascii="微软雅黑" w:eastAsia="微软雅黑" w:hAnsi="微软雅黑" w:cs="宋体" w:hint="eastAsia"/>
          <w:color w:val="333333"/>
          <w:kern w:val="0"/>
          <w:sz w:val="27"/>
          <w:szCs w:val="27"/>
        </w:rPr>
        <w:br/>
        <w:t xml:space="preserve">　　编制三年滚动财政规划。对未来三年重大财政收支情况进行分析预测，对规划期内一些重大改革、重要政策和重大项目，研究政策目标、运行机制和评价办法。三年滚动财政规划要与国民经济和社会发展五年规划纲要及相关专项规划、区域规划相衔接，强化三年滚动财政规划对年度预算的约束。</w:t>
      </w:r>
      <w:r w:rsidRPr="008C799C">
        <w:rPr>
          <w:rFonts w:ascii="微软雅黑" w:eastAsia="微软雅黑" w:hAnsi="微软雅黑" w:cs="宋体" w:hint="eastAsia"/>
          <w:color w:val="333333"/>
          <w:kern w:val="0"/>
          <w:sz w:val="27"/>
          <w:szCs w:val="27"/>
        </w:rPr>
        <w:br/>
        <w:t xml:space="preserve">　　加快推进重点领域三年滚动财政规划。在水利投资运营、义务教育、卫生、社保就业、环保等重点领域开展三年滚动财政规划试点。对列入三年滚动财政规划的项目资金，因特殊原因无法使用的，各部门要及时调剂用于规划内的其他项目，并报同级财政部门备案。</w:t>
      </w:r>
      <w:r w:rsidRPr="008C799C">
        <w:rPr>
          <w:rFonts w:ascii="微软雅黑" w:eastAsia="微软雅黑" w:hAnsi="微软雅黑" w:cs="宋体" w:hint="eastAsia"/>
          <w:color w:val="333333"/>
          <w:kern w:val="0"/>
          <w:sz w:val="27"/>
          <w:szCs w:val="27"/>
        </w:rPr>
        <w:br/>
        <w:t xml:space="preserve">　　编制部门三年滚动财政规划。加强部门预算总量约束，在编制2016年部门预算时，同步编制中央部门2016-2018年滚动财政规划。</w:t>
      </w:r>
      <w:r w:rsidRPr="008C799C">
        <w:rPr>
          <w:rFonts w:ascii="微软雅黑" w:eastAsia="微软雅黑" w:hAnsi="微软雅黑" w:cs="宋体" w:hint="eastAsia"/>
          <w:color w:val="333333"/>
          <w:kern w:val="0"/>
          <w:sz w:val="27"/>
          <w:szCs w:val="27"/>
        </w:rPr>
        <w:br/>
        <w:t xml:space="preserve">　　国民经济和社会发展五年规划纲要及相关专项规划、区域规划等，一般不得规定重点支出同财政收支增幅或生产总值挂钩事项。部门、行业规划涉及财政政策和资金支持的，要与三年滚动财政规划相衔接。</w:t>
      </w:r>
      <w:r w:rsidRPr="008C799C">
        <w:rPr>
          <w:rFonts w:ascii="微软雅黑" w:eastAsia="微软雅黑" w:hAnsi="微软雅黑" w:cs="宋体" w:hint="eastAsia"/>
          <w:color w:val="333333"/>
          <w:kern w:val="0"/>
          <w:sz w:val="27"/>
          <w:szCs w:val="27"/>
        </w:rPr>
        <w:br/>
        <w:t xml:space="preserve">　　（六）推进规范各类收入及其统筹使用。</w:t>
      </w:r>
      <w:r w:rsidRPr="008C799C">
        <w:rPr>
          <w:rFonts w:ascii="微软雅黑" w:eastAsia="微软雅黑" w:hAnsi="微软雅黑" w:cs="宋体" w:hint="eastAsia"/>
          <w:color w:val="333333"/>
          <w:kern w:val="0"/>
          <w:sz w:val="27"/>
          <w:szCs w:val="27"/>
        </w:rPr>
        <w:br/>
        <w:t xml:space="preserve">　　加大各类收入统筹使用的力度，进一步理顺税费关系，清理、整合</w:t>
      </w:r>
      <w:r w:rsidRPr="008C799C">
        <w:rPr>
          <w:rFonts w:ascii="微软雅黑" w:eastAsia="微软雅黑" w:hAnsi="微软雅黑" w:cs="宋体" w:hint="eastAsia"/>
          <w:color w:val="333333"/>
          <w:kern w:val="0"/>
          <w:sz w:val="27"/>
          <w:szCs w:val="27"/>
        </w:rPr>
        <w:lastRenderedPageBreak/>
        <w:t>和规范政府性基金和专项收入，逐步建立税收收入为主导、非税收入适当补充的收入体系。</w:t>
      </w:r>
      <w:r w:rsidRPr="008C799C">
        <w:rPr>
          <w:rFonts w:ascii="微软雅黑" w:eastAsia="微软雅黑" w:hAnsi="微软雅黑" w:cs="宋体" w:hint="eastAsia"/>
          <w:color w:val="333333"/>
          <w:kern w:val="0"/>
          <w:sz w:val="27"/>
          <w:szCs w:val="27"/>
        </w:rPr>
        <w:br/>
        <w:t xml:space="preserve">　　清理压缩政府性基金和专项收入。结合投融资体制改革和政府职能转变，取消政策效应不明显、不适应市场经济发展的政府性基金和专项收入项目。归并征收对象相同、计征方式和资金用途相似、重复设置的政府性基金和专项收入项目。结合税制改革，依法将具有税收性质的政府性基金和专项收入改为税收。对决定取消、归并、调整的政府性基金，及时推动修订相关法律法规。</w:t>
      </w:r>
      <w:r w:rsidRPr="008C799C">
        <w:rPr>
          <w:rFonts w:ascii="微软雅黑" w:eastAsia="微软雅黑" w:hAnsi="微软雅黑" w:cs="宋体" w:hint="eastAsia"/>
          <w:color w:val="333333"/>
          <w:kern w:val="0"/>
          <w:sz w:val="27"/>
          <w:szCs w:val="27"/>
        </w:rPr>
        <w:br/>
        <w:t xml:space="preserve">　　实行目录清单管理。对政府性基金和专项收入实行目录清单管理，定期向社会公开项目名称、设立依据、征收方式和标准、收入规模等，提高政策透明度，接受社会监督。</w:t>
      </w:r>
      <w:r w:rsidRPr="008C799C">
        <w:rPr>
          <w:rFonts w:ascii="微软雅黑" w:eastAsia="微软雅黑" w:hAnsi="微软雅黑" w:cs="宋体" w:hint="eastAsia"/>
          <w:color w:val="333333"/>
          <w:kern w:val="0"/>
          <w:sz w:val="27"/>
          <w:szCs w:val="27"/>
        </w:rPr>
        <w:br/>
        <w:t xml:space="preserve">　　从严控制设立收入项目。一般不新设政府性基金和专项收入项目，如有必要筹集收入或调节经济行为，主要依法通过税收方式解决。个别需要新设立政府性基金或专项收入项目的，应有明确的法律、行政法规依据或经国务院批准，并明确征收期限。</w:t>
      </w:r>
      <w:r w:rsidRPr="008C799C">
        <w:rPr>
          <w:rFonts w:ascii="微软雅黑" w:eastAsia="微软雅黑" w:hAnsi="微软雅黑" w:cs="宋体" w:hint="eastAsia"/>
          <w:color w:val="333333"/>
          <w:kern w:val="0"/>
          <w:sz w:val="27"/>
          <w:szCs w:val="27"/>
        </w:rPr>
        <w:br/>
        <w:t xml:space="preserve">　　（七）推进财政存量资金的统筹使用。</w:t>
      </w:r>
      <w:r w:rsidRPr="008C799C">
        <w:rPr>
          <w:rFonts w:ascii="微软雅黑" w:eastAsia="微软雅黑" w:hAnsi="微软雅黑" w:cs="宋体" w:hint="eastAsia"/>
          <w:color w:val="333333"/>
          <w:kern w:val="0"/>
          <w:sz w:val="27"/>
          <w:szCs w:val="27"/>
        </w:rPr>
        <w:br/>
        <w:t xml:space="preserve">　　贯彻落实国务院关于盘活财政存量资金的各项要求，全面盘活结转结余资金、预算稳定调节基金、预算周转金等各类存量资金。</w:t>
      </w:r>
      <w:r w:rsidRPr="008C799C">
        <w:rPr>
          <w:rFonts w:ascii="微软雅黑" w:eastAsia="微软雅黑" w:hAnsi="微软雅黑" w:cs="宋体" w:hint="eastAsia"/>
          <w:color w:val="333333"/>
          <w:kern w:val="0"/>
          <w:sz w:val="27"/>
          <w:szCs w:val="27"/>
        </w:rPr>
        <w:br/>
        <w:t xml:space="preserve">　　推进结转结余资金的统筹使用。对结余资金和连续两年未用完的结转资金，一律收回统筹使用。对不足两年的结转资金，要加快预算执行，也可按规定用于其他急需领域，不需按原用途使用的，应按规定统筹用于经济社会发展急需资金支持的领域。从严控制一般公共预算结转项目，</w:t>
      </w:r>
      <w:r w:rsidRPr="008C799C">
        <w:rPr>
          <w:rFonts w:ascii="微软雅黑" w:eastAsia="微软雅黑" w:hAnsi="微软雅黑" w:cs="宋体" w:hint="eastAsia"/>
          <w:color w:val="333333"/>
          <w:kern w:val="0"/>
          <w:sz w:val="27"/>
          <w:szCs w:val="27"/>
        </w:rPr>
        <w:lastRenderedPageBreak/>
        <w:t>可不结转的项目不再结转。地方各级财政除国库集中支付结余外，一律不得按权责发生制列支，已按权责发生制核算的存量资金，要结合当前财政经济形势在两年内使用完毕。</w:t>
      </w:r>
      <w:r w:rsidRPr="008C799C">
        <w:rPr>
          <w:rFonts w:ascii="微软雅黑" w:eastAsia="微软雅黑" w:hAnsi="微软雅黑" w:cs="宋体" w:hint="eastAsia"/>
          <w:color w:val="333333"/>
          <w:kern w:val="0"/>
          <w:sz w:val="27"/>
          <w:szCs w:val="27"/>
        </w:rPr>
        <w:br/>
        <w:t xml:space="preserve">　　推进预算稳定调节基金的统筹使用。根据实际需要将闲置不用的预算周转金调入预算稳定调节基金。合理控制预算稳定调节基金规模，预算稳定调节基金在编制年度预算调入使用后的规模一般不超过当年本级一般公共预算支出总额（含对下级转移支付）的5%。</w:t>
      </w:r>
      <w:r w:rsidRPr="008C799C">
        <w:rPr>
          <w:rFonts w:ascii="微软雅黑" w:eastAsia="微软雅黑" w:hAnsi="微软雅黑" w:cs="宋体" w:hint="eastAsia"/>
          <w:color w:val="333333"/>
          <w:kern w:val="0"/>
          <w:sz w:val="27"/>
          <w:szCs w:val="27"/>
        </w:rPr>
        <w:br/>
        <w:t xml:space="preserve">　　建立健全财政存量资金与预算安排统筹结合的机制。从2016年起，对上年末财政存量资金规模较大的地区或部门，适当压缩下年财政预算安排规模。其中，对上年末财政存量资金规模较大的地区，按一定比例相应核减对其下年转移支付规模；对上年末财政存量资金规模较大的部门，按一定比例相应核减其下年公用经费或项目支出规模。</w:t>
      </w:r>
      <w:r w:rsidRPr="008C799C">
        <w:rPr>
          <w:rFonts w:ascii="微软雅黑" w:eastAsia="微软雅黑" w:hAnsi="微软雅黑" w:cs="宋体" w:hint="eastAsia"/>
          <w:color w:val="333333"/>
          <w:kern w:val="0"/>
          <w:sz w:val="27"/>
          <w:szCs w:val="27"/>
        </w:rPr>
        <w:br/>
        <w:t xml:space="preserve">　　（八）推进预算编制和预算执行的统筹协调。</w:t>
      </w:r>
      <w:r w:rsidRPr="008C799C">
        <w:rPr>
          <w:rFonts w:ascii="微软雅黑" w:eastAsia="微软雅黑" w:hAnsi="微软雅黑" w:cs="宋体" w:hint="eastAsia"/>
          <w:color w:val="333333"/>
          <w:kern w:val="0"/>
          <w:sz w:val="27"/>
          <w:szCs w:val="27"/>
        </w:rPr>
        <w:br/>
        <w:t xml:space="preserve">　　统筹协调预算编制和预算执行工作，既要加强预算编制管理，提高预算编制的科学性和准确性，为预算执行打好基础，又要加强预算执行管理，加快预算执行进度，为预算编制提供重要参考。</w:t>
      </w:r>
      <w:r w:rsidRPr="008C799C">
        <w:rPr>
          <w:rFonts w:ascii="微软雅黑" w:eastAsia="微软雅黑" w:hAnsi="微软雅黑" w:cs="宋体" w:hint="eastAsia"/>
          <w:color w:val="333333"/>
          <w:kern w:val="0"/>
          <w:sz w:val="27"/>
          <w:szCs w:val="27"/>
        </w:rPr>
        <w:br/>
        <w:t xml:space="preserve">　　严格控制代编事项，按照预算法和国务院的规定，细化预算编制，提高年初预算到位率。各级财政应严格控制代编预算，对确需代编预算的事项，应及时报同级政府批准，并在当年6月30日前下达；逾期未下达的，收回同级财政总预算统筹使用。提高地方预算完整性，中央将对地方的转移支付预计数提前下达地方，地方应足额编入本级预算，并及时组织实施。严格预算调整，硬化预算约束，年度预算执行中除救灾</w:t>
      </w:r>
      <w:r w:rsidRPr="008C799C">
        <w:rPr>
          <w:rFonts w:ascii="微软雅黑" w:eastAsia="微软雅黑" w:hAnsi="微软雅黑" w:cs="宋体" w:hint="eastAsia"/>
          <w:color w:val="333333"/>
          <w:kern w:val="0"/>
          <w:sz w:val="27"/>
          <w:szCs w:val="27"/>
        </w:rPr>
        <w:lastRenderedPageBreak/>
        <w:t>等应急支出通过动支预备费等解决外，一般不出台增加当年支出的政策，必须出台的政策，应通过以后年度预算安排资金。加快已定政策的预算执行，对机关事业单位养老保险制度改革和完善工资制度等已定政策要抓紧出台实施方案，及时下达预算。</w:t>
      </w:r>
      <w:r w:rsidRPr="008C799C">
        <w:rPr>
          <w:rFonts w:ascii="微软雅黑" w:eastAsia="微软雅黑" w:hAnsi="微软雅黑" w:cs="宋体" w:hint="eastAsia"/>
          <w:color w:val="333333"/>
          <w:kern w:val="0"/>
          <w:sz w:val="27"/>
          <w:szCs w:val="27"/>
        </w:rPr>
        <w:br/>
        <w:t xml:space="preserve">　　（九）推进债务资金的统筹使用。</w:t>
      </w:r>
      <w:r w:rsidRPr="008C799C">
        <w:rPr>
          <w:rFonts w:ascii="微软雅黑" w:eastAsia="微软雅黑" w:hAnsi="微软雅黑" w:cs="宋体" w:hint="eastAsia"/>
          <w:color w:val="333333"/>
          <w:kern w:val="0"/>
          <w:sz w:val="27"/>
          <w:szCs w:val="27"/>
        </w:rPr>
        <w:br/>
        <w:t xml:space="preserve">　　加大存量债务资金和新增债务资金的统筹使用力度。结合地方政府存量债务清理甄别工作，对尚未使用的地方政府存量债务资金，一律纳入预算管理，与新增债务资金统筹安排使用。其中，一般债务资金纳入一般公共预算，由地方各级财政部门统筹用于没有收益的公益性项目建设；专项债务资金纳入对应的政府性基金，与该项政府性基金统筹用于对应有一定收益的公益性项目建设。探索提前下达地方政府债务新增限额，提高预算编制的完整性，同时加快发行进度。</w:t>
      </w:r>
      <w:r w:rsidRPr="008C799C">
        <w:rPr>
          <w:rFonts w:ascii="微软雅黑" w:eastAsia="微软雅黑" w:hAnsi="微软雅黑" w:cs="宋体" w:hint="eastAsia"/>
          <w:color w:val="333333"/>
          <w:kern w:val="0"/>
          <w:sz w:val="27"/>
          <w:szCs w:val="27"/>
        </w:rPr>
        <w:br/>
        <w:t xml:space="preserve">　　加强库款管理与债务发行的统筹协调。加快地方政府置换债券发行进度。库款较高的地区，可以根据库款余额适当控制债务发行的规模和节奏，促进库款管理与债务发行有机结合。</w:t>
      </w:r>
      <w:r w:rsidRPr="008C799C">
        <w:rPr>
          <w:rFonts w:ascii="微软雅黑" w:eastAsia="微软雅黑" w:hAnsi="微软雅黑" w:cs="宋体" w:hint="eastAsia"/>
          <w:color w:val="333333"/>
          <w:kern w:val="0"/>
          <w:sz w:val="27"/>
          <w:szCs w:val="27"/>
        </w:rPr>
        <w:br/>
        <w:t xml:space="preserve">　　（十）推进转移支付资金的统筹使用。</w:t>
      </w:r>
      <w:r w:rsidRPr="008C799C">
        <w:rPr>
          <w:rFonts w:ascii="微软雅黑" w:eastAsia="微软雅黑" w:hAnsi="微软雅黑" w:cs="宋体" w:hint="eastAsia"/>
          <w:color w:val="333333"/>
          <w:kern w:val="0"/>
          <w:sz w:val="27"/>
          <w:szCs w:val="27"/>
        </w:rPr>
        <w:br/>
        <w:t xml:space="preserve">　　优化转移支付结构。属于中央事权的，尽可能由中央本级支出安排，中央直接实施，并加强对项目遴选和执行的控制；属于地方事权的，由地方承担支出责任，中央主要通过一般性转移支付给予支持，对少量的引导类、救济类、应急类事务通过专项转移支付予以支持，并将具体资金分配权、项目确定权交给地方，中央侧重加强监管。</w:t>
      </w:r>
      <w:r w:rsidRPr="008C799C">
        <w:rPr>
          <w:rFonts w:ascii="微软雅黑" w:eastAsia="微软雅黑" w:hAnsi="微软雅黑" w:cs="宋体" w:hint="eastAsia"/>
          <w:color w:val="333333"/>
          <w:kern w:val="0"/>
          <w:sz w:val="27"/>
          <w:szCs w:val="27"/>
        </w:rPr>
        <w:br/>
        <w:t xml:space="preserve">　　清理整合专项转移支付。对目标接近、资金投入方向类同、资金管</w:t>
      </w:r>
      <w:r w:rsidRPr="008C799C">
        <w:rPr>
          <w:rFonts w:ascii="微软雅黑" w:eastAsia="微软雅黑" w:hAnsi="微软雅黑" w:cs="宋体" w:hint="eastAsia"/>
          <w:color w:val="333333"/>
          <w:kern w:val="0"/>
          <w:sz w:val="27"/>
          <w:szCs w:val="27"/>
        </w:rPr>
        <w:lastRenderedPageBreak/>
        <w:t>理方式相近的专项转移支付予以整合。对整合后的专项转移支付，应逐项制定统一的资金管理办法，做到政策目标明确、分配主体统一、分配办法一致、审批程序唯一、资金投向协调。加强转移支付项目和部门预算项目的统筹，减少执行中的预算级次调整。</w:t>
      </w:r>
      <w:r w:rsidRPr="008C799C">
        <w:rPr>
          <w:rFonts w:ascii="微软雅黑" w:eastAsia="微软雅黑" w:hAnsi="微软雅黑" w:cs="宋体" w:hint="eastAsia"/>
          <w:color w:val="333333"/>
          <w:kern w:val="0"/>
          <w:sz w:val="27"/>
          <w:szCs w:val="27"/>
        </w:rPr>
        <w:br/>
        <w:t xml:space="preserve">　　探索专项转移支付分配新方式。对保留的具有一定外部性的竞争性领域专项资金，逐步改变行政性分配方式，主要采取基金管理等市场化运作模式，鼓励与金融资本相结合，发挥撬动社会资本的杠杆作用。</w:t>
      </w:r>
      <w:r w:rsidRPr="008C799C">
        <w:rPr>
          <w:rFonts w:ascii="微软雅黑" w:eastAsia="微软雅黑" w:hAnsi="微软雅黑" w:cs="宋体" w:hint="eastAsia"/>
          <w:color w:val="333333"/>
          <w:kern w:val="0"/>
          <w:sz w:val="27"/>
          <w:szCs w:val="27"/>
        </w:rPr>
        <w:br/>
        <w:t xml:space="preserve">　　推动地方先行先试。通过对地方予以必要授权或修改相关预算资金管理办法，允许地方政府在推进财政资金统筹使用方面先行先试。对上级政府下达的专项转移支付，下级政府可在不改变资金类级科目用途的基础上，发挥贴近基层的优势，结合本级安排的相关专项情况，加大整合力度，将支持方向相同、扶持领域相关的专项转移支付整合使用。</w:t>
      </w:r>
      <w:r w:rsidRPr="008C799C">
        <w:rPr>
          <w:rFonts w:ascii="微软雅黑" w:eastAsia="微软雅黑" w:hAnsi="微软雅黑" w:cs="宋体" w:hint="eastAsia"/>
          <w:color w:val="333333"/>
          <w:kern w:val="0"/>
          <w:sz w:val="27"/>
          <w:szCs w:val="27"/>
        </w:rPr>
        <w:br/>
        <w:t xml:space="preserve">　　三、组织保障</w:t>
      </w:r>
      <w:r w:rsidRPr="008C799C">
        <w:rPr>
          <w:rFonts w:ascii="微软雅黑" w:eastAsia="微软雅黑" w:hAnsi="微软雅黑" w:cs="宋体" w:hint="eastAsia"/>
          <w:color w:val="333333"/>
          <w:kern w:val="0"/>
          <w:sz w:val="27"/>
          <w:szCs w:val="27"/>
        </w:rPr>
        <w:br/>
        <w:t xml:space="preserve">　　（一）建立统筹协调机制。各地区、各部门要高度重视，加强组织领导，切实抓好工作落实。国务院有关部门要发挥带头作用，积极作为、主动配合。财政部要密切关注相关工作进展情况，加强督促指导。各级审计机关要加强审计监督，切实推进各项措施落实到位。</w:t>
      </w:r>
      <w:r w:rsidRPr="008C799C">
        <w:rPr>
          <w:rFonts w:ascii="微软雅黑" w:eastAsia="微软雅黑" w:hAnsi="微软雅黑" w:cs="宋体" w:hint="eastAsia"/>
          <w:color w:val="333333"/>
          <w:kern w:val="0"/>
          <w:sz w:val="27"/>
          <w:szCs w:val="27"/>
        </w:rPr>
        <w:br/>
        <w:t xml:space="preserve">　　（二）建立信息定期统计机制。各地区、各部门要建立信息定期统计制度，认真分析资金整合、预算执行、财政存量资金等有关情况，并及时报送财政部。</w:t>
      </w:r>
      <w:r w:rsidRPr="008C799C">
        <w:rPr>
          <w:rFonts w:ascii="微软雅黑" w:eastAsia="微软雅黑" w:hAnsi="微软雅黑" w:cs="宋体" w:hint="eastAsia"/>
          <w:color w:val="333333"/>
          <w:kern w:val="0"/>
          <w:sz w:val="27"/>
          <w:szCs w:val="27"/>
        </w:rPr>
        <w:br/>
        <w:t xml:space="preserve">　　（三）建立健全责任追究机制。建立健全考核指标，对未按规定完成的，要严肃追究相关部门和人员的责任。建立从项目申报到财政资金</w:t>
      </w:r>
      <w:r w:rsidRPr="008C799C">
        <w:rPr>
          <w:rFonts w:ascii="微软雅黑" w:eastAsia="微软雅黑" w:hAnsi="微软雅黑" w:cs="宋体" w:hint="eastAsia"/>
          <w:color w:val="333333"/>
          <w:kern w:val="0"/>
          <w:sz w:val="27"/>
          <w:szCs w:val="27"/>
        </w:rPr>
        <w:lastRenderedPageBreak/>
        <w:t>拨付全过程的权力和责任清单制度，切实明确权责。对虚报冒领、骗取套取、挤占挪用财政资金的问题实行一案双查，不仅严肃查处直接当事人，还要追溯追查申报、审批等环节相关部门和人员的责任。</w:t>
      </w:r>
      <w:r w:rsidRPr="008C799C">
        <w:rPr>
          <w:rFonts w:ascii="微软雅黑" w:eastAsia="微软雅黑" w:hAnsi="微软雅黑" w:cs="宋体" w:hint="eastAsia"/>
          <w:color w:val="333333"/>
          <w:kern w:val="0"/>
          <w:sz w:val="27"/>
          <w:szCs w:val="27"/>
        </w:rPr>
        <w:br/>
        <w:t xml:space="preserve">　　（四）建立信息公开机制。除法定涉密信息外，中央和地方所有部门预决算都要公开，全面接受社会监督。</w:t>
      </w:r>
    </w:p>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8C799C" w:rsidP="008C799C"/>
    <w:p w:rsidR="008C799C" w:rsidRDefault="000E7D5C" w:rsidP="000E7D5C">
      <w:pPr>
        <w:pStyle w:val="3"/>
        <w:jc w:val="center"/>
        <w:rPr>
          <w:sz w:val="30"/>
          <w:szCs w:val="30"/>
          <w:lang w:val="zh-CN"/>
        </w:rPr>
      </w:pPr>
      <w:bookmarkStart w:id="5" w:name="_Toc12864170"/>
      <w:r w:rsidRPr="000E7D5C">
        <w:rPr>
          <w:rFonts w:hint="eastAsia"/>
          <w:sz w:val="30"/>
          <w:szCs w:val="30"/>
          <w:lang w:val="zh-CN"/>
        </w:rPr>
        <w:lastRenderedPageBreak/>
        <w:t>国务院办公厅转发财政部人民银行银监会关于妥善解决地方政府融资平台公司在建项目后续融资问题意见的通知（国办发〔</w:t>
      </w:r>
      <w:r w:rsidRPr="000E7D5C">
        <w:rPr>
          <w:rFonts w:hint="eastAsia"/>
          <w:sz w:val="30"/>
          <w:szCs w:val="30"/>
          <w:lang w:val="zh-CN"/>
        </w:rPr>
        <w:t>2015</w:t>
      </w:r>
      <w:r w:rsidRPr="000E7D5C">
        <w:rPr>
          <w:rFonts w:hint="eastAsia"/>
          <w:sz w:val="30"/>
          <w:szCs w:val="30"/>
          <w:lang w:val="zh-CN"/>
        </w:rPr>
        <w:t>〕</w:t>
      </w:r>
      <w:r w:rsidRPr="000E7D5C">
        <w:rPr>
          <w:rFonts w:hint="eastAsia"/>
          <w:sz w:val="30"/>
          <w:szCs w:val="30"/>
          <w:lang w:val="zh-CN"/>
        </w:rPr>
        <w:t>40</w:t>
      </w:r>
      <w:r w:rsidRPr="000E7D5C">
        <w:rPr>
          <w:rFonts w:hint="eastAsia"/>
          <w:sz w:val="30"/>
          <w:szCs w:val="30"/>
          <w:lang w:val="zh-CN"/>
        </w:rPr>
        <w:t>号）</w:t>
      </w:r>
      <w:bookmarkEnd w:id="5"/>
    </w:p>
    <w:p w:rsidR="000E7D5C" w:rsidRPr="000E7D5C" w:rsidRDefault="000E7D5C" w:rsidP="000E7D5C">
      <w:pPr>
        <w:widowControl/>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各省、自治区、直辖市人民政府，国务院各部委、各直属机构：</w:t>
      </w:r>
      <w:r w:rsidRPr="000E7D5C">
        <w:rPr>
          <w:rFonts w:ascii="微软雅黑" w:eastAsia="微软雅黑" w:hAnsi="微软雅黑" w:cs="宋体" w:hint="eastAsia"/>
          <w:color w:val="333333"/>
          <w:kern w:val="0"/>
          <w:sz w:val="27"/>
          <w:szCs w:val="27"/>
        </w:rPr>
        <w:br/>
        <w:t xml:space="preserve">　　财政部、人民银行、银监会《关于妥善解决地方政府融资平台公司在建项目后续融资问题的意见》已经国务院同意，现转发给你们，请认真贯彻执行。</w:t>
      </w:r>
    </w:p>
    <w:p w:rsidR="000E7D5C" w:rsidRPr="000E7D5C" w:rsidRDefault="000E7D5C" w:rsidP="000E7D5C">
      <w:pPr>
        <w:widowControl/>
        <w:jc w:val="right"/>
        <w:rPr>
          <w:rFonts w:ascii="微软雅黑" w:eastAsia="微软雅黑" w:hAnsi="微软雅黑" w:cs="宋体"/>
          <w:color w:val="333333"/>
          <w:kern w:val="0"/>
          <w:sz w:val="27"/>
          <w:szCs w:val="27"/>
        </w:rPr>
      </w:pPr>
      <w:r>
        <w:rPr>
          <w:rFonts w:ascii="微软雅黑" w:eastAsia="微软雅黑" w:hAnsi="微软雅黑" w:cs="宋体" w:hint="eastAsia"/>
          <w:color w:val="333333"/>
          <w:kern w:val="0"/>
          <w:sz w:val="27"/>
          <w:szCs w:val="27"/>
        </w:rPr>
        <w:t xml:space="preserve">　　　　　　　　　　　　　　　　　　　　　　　 </w:t>
      </w:r>
      <w:r w:rsidRPr="000E7D5C">
        <w:rPr>
          <w:rFonts w:ascii="微软雅黑" w:eastAsia="微软雅黑" w:hAnsi="微软雅黑" w:cs="宋体" w:hint="eastAsia"/>
          <w:color w:val="333333"/>
          <w:kern w:val="0"/>
          <w:sz w:val="27"/>
          <w:szCs w:val="27"/>
        </w:rPr>
        <w:t>国务院办公厅　　　　　　　　　　　　　　　　　　　　　　2015年5月11日</w:t>
      </w:r>
      <w:r w:rsidRPr="000E7D5C">
        <w:rPr>
          <w:rFonts w:ascii="微软雅黑" w:eastAsia="微软雅黑" w:hAnsi="微软雅黑" w:cs="宋体" w:hint="eastAsia"/>
          <w:color w:val="333333"/>
          <w:kern w:val="0"/>
          <w:sz w:val="27"/>
          <w:szCs w:val="27"/>
        </w:rPr>
        <w:br/>
        <w:t xml:space="preserve">　　（此件公开发布）</w:t>
      </w:r>
    </w:p>
    <w:p w:rsidR="000E7D5C" w:rsidRPr="000E7D5C" w:rsidRDefault="000E7D5C" w:rsidP="000E7D5C">
      <w:pPr>
        <w:widowControl/>
        <w:spacing w:after="180"/>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w:t>
      </w:r>
    </w:p>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关于妥善解决地方政府融资平台公司</w:t>
      </w:r>
      <w:r w:rsidRPr="000E7D5C">
        <w:rPr>
          <w:rFonts w:ascii="微软雅黑" w:eastAsia="微软雅黑" w:hAnsi="微软雅黑" w:cs="宋体" w:hint="eastAsia"/>
          <w:color w:val="333333"/>
          <w:kern w:val="0"/>
          <w:sz w:val="27"/>
          <w:szCs w:val="27"/>
        </w:rPr>
        <w:br/>
        <w:t>在建项目后续融资问题的意见</w:t>
      </w:r>
      <w:r w:rsidRPr="000E7D5C">
        <w:rPr>
          <w:rFonts w:ascii="微软雅黑" w:eastAsia="微软雅黑" w:hAnsi="微软雅黑" w:cs="宋体" w:hint="eastAsia"/>
          <w:color w:val="333333"/>
          <w:kern w:val="0"/>
          <w:sz w:val="27"/>
          <w:szCs w:val="27"/>
        </w:rPr>
        <w:br/>
        <w:t>财政部　人民银行　银监会</w:t>
      </w:r>
    </w:p>
    <w:p w:rsidR="000E7D5C" w:rsidRPr="000E7D5C" w:rsidRDefault="000E7D5C" w:rsidP="000E7D5C">
      <w:pPr>
        <w:widowControl/>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xml:space="preserve">　　为全面落实《国务院关于加强地方政府性债务管理的意见》（国发〔2014〕43号）要求，依法合规积极支持融资平台公司在建项目后续融资，确保在建项目有序推进，切实满足实体经济的合理融资需求，有效防范和化解财政金融风险，现就妥善解决地方政府融资平台公司在建项目后续融资问题提出以下意见。</w:t>
      </w:r>
      <w:r w:rsidRPr="000E7D5C">
        <w:rPr>
          <w:rFonts w:ascii="微软雅黑" w:eastAsia="微软雅黑" w:hAnsi="微软雅黑" w:cs="宋体" w:hint="eastAsia"/>
          <w:color w:val="333333"/>
          <w:kern w:val="0"/>
          <w:sz w:val="27"/>
          <w:szCs w:val="27"/>
        </w:rPr>
        <w:br/>
        <w:t xml:space="preserve">　　一、总体要求和适用范围</w:t>
      </w:r>
      <w:r w:rsidRPr="000E7D5C">
        <w:rPr>
          <w:rFonts w:ascii="微软雅黑" w:eastAsia="微软雅黑" w:hAnsi="微软雅黑" w:cs="宋体" w:hint="eastAsia"/>
          <w:color w:val="333333"/>
          <w:kern w:val="0"/>
          <w:sz w:val="27"/>
          <w:szCs w:val="27"/>
        </w:rPr>
        <w:br/>
        <w:t xml:space="preserve">　　（一）总体要求。地方各级政府和银行业金融机构要妥善处理融资</w:t>
      </w:r>
      <w:r w:rsidRPr="000E7D5C">
        <w:rPr>
          <w:rFonts w:ascii="微软雅黑" w:eastAsia="微软雅黑" w:hAnsi="微软雅黑" w:cs="宋体" w:hint="eastAsia"/>
          <w:color w:val="333333"/>
          <w:kern w:val="0"/>
          <w:sz w:val="27"/>
          <w:szCs w:val="27"/>
        </w:rPr>
        <w:lastRenderedPageBreak/>
        <w:t>平台公司在建项目后续融资问题，区分存量和增量实施分类管理，依法合规进行融资，切实满足促进经济发展和防范财政金融风险的需要。</w:t>
      </w:r>
      <w:r w:rsidRPr="000E7D5C">
        <w:rPr>
          <w:rFonts w:ascii="微软雅黑" w:eastAsia="微软雅黑" w:hAnsi="微软雅黑" w:cs="宋体" w:hint="eastAsia"/>
          <w:color w:val="333333"/>
          <w:kern w:val="0"/>
          <w:sz w:val="27"/>
          <w:szCs w:val="27"/>
        </w:rPr>
        <w:br/>
        <w:t xml:space="preserve">　　（二）适用范围。融资平台公司是指由地方政府及其部门和机构等通过财政拨款或注入土地、股权等资产设立，承担政府投资项目融资功能，并拥有独立法人资格的经济实体。在建项目是指在国发〔2014〕43号文件成文日期（2014年9月21日）之前，经相关投资主管部门依照有关规定完成审批、核准或备案手续，并已开工建设的项目。</w:t>
      </w:r>
      <w:r w:rsidRPr="000E7D5C">
        <w:rPr>
          <w:rFonts w:ascii="微软雅黑" w:eastAsia="微软雅黑" w:hAnsi="微软雅黑" w:cs="宋体" w:hint="eastAsia"/>
          <w:color w:val="333333"/>
          <w:kern w:val="0"/>
          <w:sz w:val="27"/>
          <w:szCs w:val="27"/>
        </w:rPr>
        <w:br/>
        <w:t xml:space="preserve">　　二、重点任务</w:t>
      </w:r>
      <w:r w:rsidRPr="000E7D5C">
        <w:rPr>
          <w:rFonts w:ascii="微软雅黑" w:eastAsia="微软雅黑" w:hAnsi="微软雅黑" w:cs="宋体" w:hint="eastAsia"/>
          <w:color w:val="333333"/>
          <w:kern w:val="0"/>
          <w:sz w:val="27"/>
          <w:szCs w:val="27"/>
        </w:rPr>
        <w:br/>
        <w:t xml:space="preserve">　　（三）支持在建项目的存量融资需求。地方各级政府和银行业金融机构要按照总量控制、区别对待的原则，支持融资平台公司在建项目的存量融资需求，确保在建项目有序推进。对于在2014年12月31日前已签订具有法律效力的借款合同并已放款，但合同尚未到期的融资平台公司在建项目贷款，银行业金融机构要在全面把控风险、落实信贷条件的前提下，继续按照合同约定发放贷款，不得盲目抽贷、压贷、停贷。对于在2014年12月31日前已签订具有法律效力的借款合同，且合同到期的融资平台公司在建项目贷款，如果项目自身运营收入不足以还本付息，银行业金融机构可与地方政府、融资平台公司协商，在后续借款与前期借款合同约定的责任一致，且确保借款合同金额不增加的前提下，重新修订借款合同，合理确定贷款期限，补充合格有效抵质押品。</w:t>
      </w:r>
      <w:r w:rsidRPr="000E7D5C">
        <w:rPr>
          <w:rFonts w:ascii="微软雅黑" w:eastAsia="微软雅黑" w:hAnsi="微软雅黑" w:cs="宋体" w:hint="eastAsia"/>
          <w:color w:val="333333"/>
          <w:kern w:val="0"/>
          <w:sz w:val="27"/>
          <w:szCs w:val="27"/>
        </w:rPr>
        <w:br/>
        <w:t xml:space="preserve">　　（四）规范实施在建项目的增量融资。地方各级政府要密切关注融资平台公司在建项目中应由财政支持的增量融资需求，在依法合规、规范管理的前提下，统筹财政资金和社会资本等各类资金，保障在建项目</w:t>
      </w:r>
      <w:r w:rsidRPr="000E7D5C">
        <w:rPr>
          <w:rFonts w:ascii="微软雅黑" w:eastAsia="微软雅黑" w:hAnsi="微软雅黑" w:cs="宋体" w:hint="eastAsia"/>
          <w:color w:val="333333"/>
          <w:kern w:val="0"/>
          <w:sz w:val="27"/>
          <w:szCs w:val="27"/>
        </w:rPr>
        <w:lastRenderedPageBreak/>
        <w:t>续建和收尾。对于已签合同贷款额不能满足建设需要，且适宜采取政府和社会资本合作模式的融资平台公司在建项目，优先采取政府和社会资本合作模式，弥补在建项目增量融资需求。对于已签合同贷款额不能满足建设需要，且符合国家有关规定并确实没有其他建设资金来源，但又暂时不宜转为政府和社会资本合作模式的融资平台公司在建项目，增量融资需求纳入政府预算管理，由地方政府按法律要求和有关规定发行政府债券解决。</w:t>
      </w:r>
      <w:r w:rsidRPr="000E7D5C">
        <w:rPr>
          <w:rFonts w:ascii="微软雅黑" w:eastAsia="微软雅黑" w:hAnsi="微软雅黑" w:cs="宋体" w:hint="eastAsia"/>
          <w:color w:val="333333"/>
          <w:kern w:val="0"/>
          <w:sz w:val="27"/>
          <w:szCs w:val="27"/>
        </w:rPr>
        <w:br/>
        <w:t xml:space="preserve">　　（五）切实做好在建项目后续融资管理工作。银行业金融机构要兼顾促发展和防风险，严格规范信贷管理，切实加强风险识别和风险控制。对于融资平台公司在建项目贷款，银行业金融机构要在审慎测算融资平台公司还款能力和在建项目收益、综合考虑地方政府偿债能力的基础上，自主决策、自担风险，切实做好后续融资管理工作。银行业金融机构要认真审查贷款投向，重点支持农田水利设施、保障性安居工程、城市轨道交通等领域的融资平台公司在建项目，确保贷款符合产业发展需要和产业园区发展规划。</w:t>
      </w:r>
      <w:r w:rsidRPr="000E7D5C">
        <w:rPr>
          <w:rFonts w:ascii="微软雅黑" w:eastAsia="微软雅黑" w:hAnsi="微软雅黑" w:cs="宋体" w:hint="eastAsia"/>
          <w:color w:val="333333"/>
          <w:kern w:val="0"/>
          <w:sz w:val="27"/>
          <w:szCs w:val="27"/>
        </w:rPr>
        <w:br/>
        <w:t xml:space="preserve">　　（六）完善配套措施。对地方政府按法律要求和有关规定发行政府债券解决的在建项目后续融资，在保障财政支出需要的前提下，对于有相应政府债券发行额度，且本地区国库库款余额超过一个半月库款支付保障水平的地区，允许地方财政部门在政府债券发行额度内，加大盘活以前年度存量财政资金力度，利用超出部分的国库库款用于政府债券发行之前的资金周转，以解决在建项目融资与政府债券发行之间的时间差问题。地方财政部门在动用国库库款用于资金周转前，须报经本级人民</w:t>
      </w:r>
      <w:r w:rsidRPr="000E7D5C">
        <w:rPr>
          <w:rFonts w:ascii="微软雅黑" w:eastAsia="微软雅黑" w:hAnsi="微软雅黑" w:cs="宋体" w:hint="eastAsia"/>
          <w:color w:val="333333"/>
          <w:kern w:val="0"/>
          <w:sz w:val="27"/>
          <w:szCs w:val="27"/>
        </w:rPr>
        <w:lastRenderedPageBreak/>
        <w:t>政府批准，并抄送同级人大有关机构和有关单位。地方财政部门在完成政府债券发行之后，要及时将资金全部收回国库。财政部、发展改革委、人民银行、银监会等有关部门要加强地方政府性债务信息共享，密切监测债务变化。</w:t>
      </w:r>
      <w:r w:rsidRPr="000E7D5C">
        <w:rPr>
          <w:rFonts w:ascii="微软雅黑" w:eastAsia="微软雅黑" w:hAnsi="微软雅黑" w:cs="宋体" w:hint="eastAsia"/>
          <w:color w:val="333333"/>
          <w:kern w:val="0"/>
          <w:sz w:val="27"/>
          <w:szCs w:val="27"/>
        </w:rPr>
        <w:br/>
        <w:t xml:space="preserve">　　三、组织实施</w:t>
      </w:r>
      <w:r w:rsidRPr="000E7D5C">
        <w:rPr>
          <w:rFonts w:ascii="微软雅黑" w:eastAsia="微软雅黑" w:hAnsi="微软雅黑" w:cs="宋体" w:hint="eastAsia"/>
          <w:color w:val="333333"/>
          <w:kern w:val="0"/>
          <w:sz w:val="27"/>
          <w:szCs w:val="27"/>
        </w:rPr>
        <w:br/>
        <w:t xml:space="preserve">　　（七）加强组织领导。地方各级人民政府、各有关部门要从大局出发，充分认识做好融资平台公司在建项目后续融资工作的重要性，统一思想，加强领导，结合本地区、本部门实际认真抓好落实。</w:t>
      </w:r>
      <w:r w:rsidRPr="000E7D5C">
        <w:rPr>
          <w:rFonts w:ascii="微软雅黑" w:eastAsia="微软雅黑" w:hAnsi="微软雅黑" w:cs="宋体" w:hint="eastAsia"/>
          <w:color w:val="333333"/>
          <w:kern w:val="0"/>
          <w:sz w:val="27"/>
          <w:szCs w:val="27"/>
        </w:rPr>
        <w:br/>
        <w:t xml:space="preserve">　　（八）密切协同推进。财政部、人民银行要加强财政政策和货币政策的协调配合，为地方政府发行债券创造良好的市场环境。财政部要制定出台地方政府债券配套管理办法，加强对地方政府债券发行和使用工作的组织领导。银监会要加强监管、正确引导，推动银行业金融机构在依法合规、有效防范风险的前提下，做好融资平台公司在建项目后续融资工作，并将本意见传达至各银行业金融机构。各有关部门要切实履行职责，强化政策协同，共同做好融资平台公司在建项目后续融资相关工作，确保政策及时落实到位。</w:t>
      </w:r>
      <w:r w:rsidRPr="000E7D5C">
        <w:rPr>
          <w:rFonts w:ascii="微软雅黑" w:eastAsia="微软雅黑" w:hAnsi="微软雅黑" w:cs="宋体" w:hint="eastAsia"/>
          <w:color w:val="333333"/>
          <w:kern w:val="0"/>
          <w:sz w:val="27"/>
          <w:szCs w:val="27"/>
        </w:rPr>
        <w:br/>
        <w:t xml:space="preserve">　　（九）关于地方政府融资平台公司在建项目后续融资问题，国务院另有规定的，从其规定。</w:t>
      </w:r>
    </w:p>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Pr>
        <w:pStyle w:val="3"/>
        <w:jc w:val="center"/>
        <w:rPr>
          <w:sz w:val="30"/>
          <w:szCs w:val="30"/>
          <w:lang w:val="zh-CN"/>
        </w:rPr>
      </w:pPr>
      <w:bookmarkStart w:id="6" w:name="_Toc12864171"/>
      <w:r w:rsidRPr="000E7D5C">
        <w:rPr>
          <w:rFonts w:hint="eastAsia"/>
          <w:sz w:val="30"/>
          <w:szCs w:val="30"/>
          <w:lang w:val="zh-CN"/>
        </w:rPr>
        <w:lastRenderedPageBreak/>
        <w:t>国务院关于创新重点领域投融资机制鼓励社会投资的指导意见（国发〔</w:t>
      </w:r>
      <w:r w:rsidRPr="000E7D5C">
        <w:rPr>
          <w:rFonts w:hint="eastAsia"/>
          <w:sz w:val="30"/>
          <w:szCs w:val="30"/>
          <w:lang w:val="zh-CN"/>
        </w:rPr>
        <w:t>2014</w:t>
      </w:r>
      <w:r w:rsidRPr="000E7D5C">
        <w:rPr>
          <w:rFonts w:hint="eastAsia"/>
          <w:sz w:val="30"/>
          <w:szCs w:val="30"/>
          <w:lang w:val="zh-CN"/>
        </w:rPr>
        <w:t>〕</w:t>
      </w:r>
      <w:r w:rsidRPr="000E7D5C">
        <w:rPr>
          <w:rFonts w:hint="eastAsia"/>
          <w:sz w:val="30"/>
          <w:szCs w:val="30"/>
          <w:lang w:val="zh-CN"/>
        </w:rPr>
        <w:t>60</w:t>
      </w:r>
      <w:r w:rsidRPr="000E7D5C">
        <w:rPr>
          <w:rFonts w:hint="eastAsia"/>
          <w:sz w:val="30"/>
          <w:szCs w:val="30"/>
          <w:lang w:val="zh-CN"/>
        </w:rPr>
        <w:t>号）</w:t>
      </w:r>
      <w:bookmarkEnd w:id="6"/>
    </w:p>
    <w:p w:rsidR="000E7D5C" w:rsidRPr="000E7D5C" w:rsidRDefault="000E7D5C" w:rsidP="000E7D5C">
      <w:pPr>
        <w:widowControl/>
        <w:shd w:val="clear" w:color="auto" w:fill="FFFFFF"/>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各省、自治区、直辖市人民政府，国务院各部委、各直属机构：</w:t>
      </w:r>
      <w:r w:rsidRPr="000E7D5C">
        <w:rPr>
          <w:rFonts w:ascii="微软雅黑" w:eastAsia="微软雅黑" w:hAnsi="微软雅黑" w:cs="宋体" w:hint="eastAsia"/>
          <w:color w:val="333333"/>
          <w:kern w:val="0"/>
          <w:sz w:val="27"/>
          <w:szCs w:val="27"/>
        </w:rPr>
        <w:br/>
        <w:t xml:space="preserve">　　为推进经济结构战略性调整，加强薄弱环节建设，促进经济持续健康发展，迫切需要在公共服务、资源环境、生态建设、基础设施等重点领域进一步创新投融资机制，充分发挥社会资本特别是民间资本的积极作用。为此，特提出以下意见。</w:t>
      </w:r>
      <w:r w:rsidRPr="000E7D5C">
        <w:rPr>
          <w:rFonts w:ascii="微软雅黑" w:eastAsia="微软雅黑" w:hAnsi="微软雅黑" w:cs="宋体" w:hint="eastAsia"/>
          <w:color w:val="333333"/>
          <w:kern w:val="0"/>
          <w:sz w:val="27"/>
          <w:szCs w:val="27"/>
        </w:rPr>
        <w:br/>
        <w:t xml:space="preserve">　　一、总体要求</w:t>
      </w:r>
      <w:r w:rsidRPr="000E7D5C">
        <w:rPr>
          <w:rFonts w:ascii="微软雅黑" w:eastAsia="微软雅黑" w:hAnsi="微软雅黑" w:cs="宋体" w:hint="eastAsia"/>
          <w:color w:val="333333"/>
          <w:kern w:val="0"/>
          <w:sz w:val="27"/>
          <w:szCs w:val="27"/>
        </w:rPr>
        <w:br/>
        <w:t xml:space="preserve">　　（一）指导思想。全面贯彻落实党的十八大和十八届三中、四中全会精神，按照党中央、国务院决策部署，使市场在资源配置中起决定性作用和更好发挥政府作用，打破行业垄断和市场壁垒，切实降低准入门槛，建立公平开放透明的市场规则，营造权利平等、机会平等、规则平等的投资环境，进一步鼓励社会投资特别是民间投资，盘活存量、用好增量，调结构、补短板，服务国家生产力布局，促进重点领域建设，增加公共产品有效供给。</w:t>
      </w:r>
      <w:r w:rsidRPr="000E7D5C">
        <w:rPr>
          <w:rFonts w:ascii="微软雅黑" w:eastAsia="微软雅黑" w:hAnsi="微软雅黑" w:cs="宋体" w:hint="eastAsia"/>
          <w:color w:val="333333"/>
          <w:kern w:val="0"/>
          <w:sz w:val="27"/>
          <w:szCs w:val="27"/>
        </w:rPr>
        <w:br/>
        <w:t xml:space="preserve">　　（二）基本原则。实行统一市场准入，创造平等投资机会；创新投资运营机制，扩大社会资本投资途径；优化政府投资使用方向和方式，发挥引导带动作用；创新融资方式，拓宽融资渠道；完善价格形成机制，发挥价格杠杆作用。</w:t>
      </w:r>
      <w:r w:rsidRPr="000E7D5C">
        <w:rPr>
          <w:rFonts w:ascii="微软雅黑" w:eastAsia="微软雅黑" w:hAnsi="微软雅黑" w:cs="宋体" w:hint="eastAsia"/>
          <w:color w:val="333333"/>
          <w:kern w:val="0"/>
          <w:sz w:val="27"/>
          <w:szCs w:val="27"/>
        </w:rPr>
        <w:br/>
        <w:t xml:space="preserve">　　二、创新生态环保投资运营机制</w:t>
      </w:r>
      <w:r w:rsidRPr="000E7D5C">
        <w:rPr>
          <w:rFonts w:ascii="微软雅黑" w:eastAsia="微软雅黑" w:hAnsi="微软雅黑" w:cs="宋体" w:hint="eastAsia"/>
          <w:color w:val="333333"/>
          <w:kern w:val="0"/>
          <w:sz w:val="27"/>
          <w:szCs w:val="27"/>
        </w:rPr>
        <w:br/>
        <w:t xml:space="preserve">　　（三）深化林业管理体制改革。推进国有林区和国有林场管理体制改革，完善森林经营和采伐管理制度，开展森林科学经营。深化集体林</w:t>
      </w:r>
      <w:r w:rsidRPr="000E7D5C">
        <w:rPr>
          <w:rFonts w:ascii="微软雅黑" w:eastAsia="微软雅黑" w:hAnsi="微软雅黑" w:cs="宋体" w:hint="eastAsia"/>
          <w:color w:val="333333"/>
          <w:kern w:val="0"/>
          <w:sz w:val="27"/>
          <w:szCs w:val="27"/>
        </w:rPr>
        <w:lastRenderedPageBreak/>
        <w:t>权制度改革，稳定林权承包关系，放活林地经营权，鼓励林权依法规范流转。鼓励荒山荒地造林和退耕还林林地林权依法流转。减免林权流转税费，有效降低流转成本。</w:t>
      </w:r>
      <w:r w:rsidRPr="000E7D5C">
        <w:rPr>
          <w:rFonts w:ascii="微软雅黑" w:eastAsia="微软雅黑" w:hAnsi="微软雅黑" w:cs="宋体" w:hint="eastAsia"/>
          <w:color w:val="333333"/>
          <w:kern w:val="0"/>
          <w:sz w:val="27"/>
          <w:szCs w:val="27"/>
        </w:rPr>
        <w:br/>
        <w:t xml:space="preserve">　　（四）推进生态建设主体多元化。在严格保护森林资源的前提下，鼓励社会资本积极参与生态建设和保护，支持符合条件的农民合作社、家庭农场（林场）、专业大户、林业企业等新型经营主体投资生态建设项目。对社会资本利用荒山荒地进行植树造林的，在保障生态效益、符合土地用途管制要求的前提下，允许发展林下经济、森林旅游等生态产业。</w:t>
      </w:r>
      <w:r w:rsidRPr="000E7D5C">
        <w:rPr>
          <w:rFonts w:ascii="微软雅黑" w:eastAsia="微软雅黑" w:hAnsi="微软雅黑" w:cs="宋体" w:hint="eastAsia"/>
          <w:color w:val="333333"/>
          <w:kern w:val="0"/>
          <w:sz w:val="27"/>
          <w:szCs w:val="27"/>
        </w:rPr>
        <w:br/>
        <w:t xml:space="preserve">　　（五）推动环境污染治理市场化。在电力、钢铁等重点行业以及开发区（工业园区）污染治理等领域，大力推行环境污染第三方治理，通过委托治理服务、托管运营服务等方式，由排污企业付费购买专业环境服务公司的治污减排服务，提高污染治理的产业化、专业化程度。稳妥推进政府向社会购买环境监测服务。建立重点行业第三方治污企业推荐制度。</w:t>
      </w:r>
      <w:r w:rsidRPr="000E7D5C">
        <w:rPr>
          <w:rFonts w:ascii="微软雅黑" w:eastAsia="微软雅黑" w:hAnsi="微软雅黑" w:cs="宋体" w:hint="eastAsia"/>
          <w:color w:val="333333"/>
          <w:kern w:val="0"/>
          <w:sz w:val="27"/>
          <w:szCs w:val="27"/>
        </w:rPr>
        <w:br/>
        <w:t xml:space="preserve">　　（六）积极开展排污权、碳排放权交易试点。推进排污权有偿使用和交易试点，建立排污权有偿使用制度，规范排污权交易市场，鼓励社会资本参与污染减排和排污权交易。加快调整主要污染物排污费征收标准，实行差别化排污收费政策。加快在国内试行碳排放权交易制度，探索森林碳汇交易，发展碳排放权交易市场，鼓励和支持社会投资者参与碳配额交易，通过金融市场发现价格的功能，调整不同经济主体利益，有效促进环保和节能减排。</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三、鼓励社会资本投资运营农业和水利工程</w:t>
      </w:r>
      <w:r w:rsidRPr="000E7D5C">
        <w:rPr>
          <w:rFonts w:ascii="微软雅黑" w:eastAsia="微软雅黑" w:hAnsi="微软雅黑" w:cs="宋体" w:hint="eastAsia"/>
          <w:color w:val="333333"/>
          <w:kern w:val="0"/>
          <w:sz w:val="27"/>
          <w:szCs w:val="27"/>
        </w:rPr>
        <w:br/>
        <w:t xml:space="preserve">　　（七）培育农业、水利工程多元化投资主体。支持农民合作社、家庭农场、专业大户、农业企业等新型经营主体投资建设农田水利和水土保持设施。允许财政补助形成的小型农田水利和水土保持工程资产由农业用水合作组织持有和管护。鼓励社会资本以特许经营、参股控股等多种形式参与具有一定收益的节水供水重大水利工程建设运营。社会资本愿意投入的重大水利工程，要积极鼓励社会资本投资建设。</w:t>
      </w:r>
      <w:r w:rsidRPr="000E7D5C">
        <w:rPr>
          <w:rFonts w:ascii="微软雅黑" w:eastAsia="微软雅黑" w:hAnsi="微软雅黑" w:cs="宋体" w:hint="eastAsia"/>
          <w:color w:val="333333"/>
          <w:kern w:val="0"/>
          <w:sz w:val="27"/>
          <w:szCs w:val="27"/>
        </w:rPr>
        <w:br/>
        <w:t xml:space="preserve">　　（八）保障农业、水利工程投资合理收益。社会资本投资建设或运营管理农田水利、水土保持设施和节水供水重大水利工程的，与国有、集体投资项目享有同等政策待遇，可以依法获取供水水费等经营收益；承担公益性任务的，政府可对工程建设投资、维修养护和管护经费等给予适当补助，并落实优惠政策。社会资本投资建设或运营管理农田水利设施、重大水利工程等，可依法继承、转让、转租、抵押其相关权益；征收、征用或占用的，要按照国家有关规定给予补偿或者赔偿。</w:t>
      </w:r>
      <w:r w:rsidRPr="000E7D5C">
        <w:rPr>
          <w:rFonts w:ascii="微软雅黑" w:eastAsia="微软雅黑" w:hAnsi="微软雅黑" w:cs="宋体" w:hint="eastAsia"/>
          <w:color w:val="333333"/>
          <w:kern w:val="0"/>
          <w:sz w:val="27"/>
          <w:szCs w:val="27"/>
        </w:rPr>
        <w:br/>
        <w:t xml:space="preserve">　　（九）通过水权制度改革吸引社会资本参与水资源开发利用和保护。加快建立水权制度，培育和规范水权交易市场，积极探索多种形式的水权交易流转方式，允许各地通过水权交易满足新增合理用水需求。鼓励社会资本通过参与节水供水重大水利工程投资建设等方式优先获得新增水资源使用权。</w:t>
      </w:r>
      <w:r w:rsidRPr="000E7D5C">
        <w:rPr>
          <w:rFonts w:ascii="微软雅黑" w:eastAsia="微软雅黑" w:hAnsi="微软雅黑" w:cs="宋体" w:hint="eastAsia"/>
          <w:color w:val="333333"/>
          <w:kern w:val="0"/>
          <w:sz w:val="27"/>
          <w:szCs w:val="27"/>
        </w:rPr>
        <w:br/>
        <w:t xml:space="preserve">　　（十）完善水利工程水价形成机制。深入开展农业水价综合改革试点，进一步促进农业节水。水利工程供非农业用水价格按照补偿成本、合理收益、优质优价、公平负担的原则合理制定，并根据供水成本变化</w:t>
      </w:r>
      <w:r w:rsidRPr="000E7D5C">
        <w:rPr>
          <w:rFonts w:ascii="微软雅黑" w:eastAsia="微软雅黑" w:hAnsi="微软雅黑" w:cs="宋体" w:hint="eastAsia"/>
          <w:color w:val="333333"/>
          <w:kern w:val="0"/>
          <w:sz w:val="27"/>
          <w:szCs w:val="27"/>
        </w:rPr>
        <w:lastRenderedPageBreak/>
        <w:t>及社会承受能力等适时调整，推行两部制水利工程水价和丰枯季节水价。价格调整不到位时，地方政府可根据实际情况安排财政性资金，对运营单位进行合理补偿。</w:t>
      </w:r>
      <w:r w:rsidRPr="000E7D5C">
        <w:rPr>
          <w:rFonts w:ascii="微软雅黑" w:eastAsia="微软雅黑" w:hAnsi="微软雅黑" w:cs="宋体" w:hint="eastAsia"/>
          <w:color w:val="333333"/>
          <w:kern w:val="0"/>
          <w:sz w:val="27"/>
          <w:szCs w:val="27"/>
        </w:rPr>
        <w:br/>
        <w:t xml:space="preserve">　　四、推进市政基础设施投资运营市场化</w:t>
      </w:r>
      <w:r w:rsidRPr="000E7D5C">
        <w:rPr>
          <w:rFonts w:ascii="微软雅黑" w:eastAsia="微软雅黑" w:hAnsi="微软雅黑" w:cs="宋体" w:hint="eastAsia"/>
          <w:color w:val="333333"/>
          <w:kern w:val="0"/>
          <w:sz w:val="27"/>
          <w:szCs w:val="27"/>
        </w:rPr>
        <w:br/>
        <w:t xml:space="preserve">　　（十一）改革市政基础设施建设运营模式。推动市政基础设施建设运营事业单位向独立核算、自主经营的企业化管理转变。鼓励打破以项目为单位的分散运营模式，实行规模化经营，降低建设和运营成本，提高投资效益。推进市县、乡镇和村级污水收集和处理、垃圾处理项目按行业“打包”投资和运营，鼓励实行城乡供水一体化、厂网一体投资和运营。</w:t>
      </w:r>
      <w:r w:rsidRPr="000E7D5C">
        <w:rPr>
          <w:rFonts w:ascii="微软雅黑" w:eastAsia="微软雅黑" w:hAnsi="微软雅黑" w:cs="宋体" w:hint="eastAsia"/>
          <w:color w:val="333333"/>
          <w:kern w:val="0"/>
          <w:sz w:val="27"/>
          <w:szCs w:val="27"/>
        </w:rPr>
        <w:br/>
        <w:t xml:space="preserve">　　（十二）积极推动社会资本参与市政基础设施建设运营。通过特许经营、投资补助、政府购买服务等多种方式，鼓励社会资本投资城镇供水、供热、燃气、污水垃圾处理、建筑垃圾资源化利用和处理、城市综合管廊、公园配套服务、公共交通、停车设施等市政基础设施项目，政府依法选择符合要求的经营者。政府可采用委托经营或转让—经营—转让（TOT）等方式，将已经建成的市政基础设施项目转交给社会资本运营管理。</w:t>
      </w:r>
      <w:r w:rsidRPr="000E7D5C">
        <w:rPr>
          <w:rFonts w:ascii="微软雅黑" w:eastAsia="微软雅黑" w:hAnsi="微软雅黑" w:cs="宋体" w:hint="eastAsia"/>
          <w:color w:val="333333"/>
          <w:kern w:val="0"/>
          <w:sz w:val="27"/>
          <w:szCs w:val="27"/>
        </w:rPr>
        <w:br/>
        <w:t xml:space="preserve">　　（十三）加强县城基础设施建设。按照新型城镇化发展的要求，把有条件的县城和重点镇发展为中小城市，支持基础设施建设，增强吸纳农业转移人口的能力。选择若干具有产业基础、特色资源和区位优势的县城和重点镇推行试点，加大对市政基础设施建设运营引入市场机制的政策支持力度。</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十四）完善市政基础设施价格机制。加快改进市政基础设施价格形成、调整和补偿机制，使经营者能够获得合理收益。实行上下游价格调整联动机制，价格调整不到位时，地方政府可根据实际情况安排财政性资金对企业运营进行合理补偿。</w:t>
      </w:r>
      <w:r w:rsidRPr="000E7D5C">
        <w:rPr>
          <w:rFonts w:ascii="微软雅黑" w:eastAsia="微软雅黑" w:hAnsi="微软雅黑" w:cs="宋体" w:hint="eastAsia"/>
          <w:color w:val="333333"/>
          <w:kern w:val="0"/>
          <w:sz w:val="27"/>
          <w:szCs w:val="27"/>
        </w:rPr>
        <w:br/>
        <w:t xml:space="preserve">　　五、改革完善交通投融资机制</w:t>
      </w:r>
      <w:r w:rsidRPr="000E7D5C">
        <w:rPr>
          <w:rFonts w:ascii="微软雅黑" w:eastAsia="微软雅黑" w:hAnsi="微软雅黑" w:cs="宋体" w:hint="eastAsia"/>
          <w:color w:val="333333"/>
          <w:kern w:val="0"/>
          <w:sz w:val="27"/>
          <w:szCs w:val="27"/>
        </w:rPr>
        <w:br/>
        <w:t xml:space="preserve">　　（十五）加快推进铁路投融资体制改革。用好铁路发展基金平台，吸引社会资本参与，扩大基金规模。充分利用铁路土地综合开发政策，以开发收益支持铁路发展。按照市场化方向，不断完善铁路运价形成机制。向地方政府和社会资本放开城际铁路、市域（郊）铁路、资源开发性铁路和支线铁路的所有权、经营权。按照构建现代企业制度的要求，保障投资者权益，推进蒙西至华中、长春至西巴彦花铁路等引进民间资本的示范项目实施。鼓励按照“多式衔接、立体开发、功能融合、节约集约”的原则，对城市轨道交通站点周边、车辆段上盖进行土地综合开发，吸引社会资本参与城市轨道交通建设。</w:t>
      </w:r>
      <w:r w:rsidRPr="000E7D5C">
        <w:rPr>
          <w:rFonts w:ascii="微软雅黑" w:eastAsia="微软雅黑" w:hAnsi="微软雅黑" w:cs="宋体" w:hint="eastAsia"/>
          <w:color w:val="333333"/>
          <w:kern w:val="0"/>
          <w:sz w:val="27"/>
          <w:szCs w:val="27"/>
        </w:rPr>
        <w:br/>
        <w:t xml:space="preserve">　　（十六）完善公路投融资模式。建立完善政府主导、分级负责、多元筹资的公路投融资模式，完善收费公路政策，吸引社会资本投入，多渠道筹措建设和维护资金。逐步建立高速公路与普通公路统筹发展机制，促进普通公路持续健康发展。</w:t>
      </w:r>
      <w:r w:rsidRPr="000E7D5C">
        <w:rPr>
          <w:rFonts w:ascii="微软雅黑" w:eastAsia="微软雅黑" w:hAnsi="微软雅黑" w:cs="宋体" w:hint="eastAsia"/>
          <w:color w:val="333333"/>
          <w:kern w:val="0"/>
          <w:sz w:val="27"/>
          <w:szCs w:val="27"/>
        </w:rPr>
        <w:br/>
        <w:t xml:space="preserve">　　（十七）鼓励社会资本参与水运、民航基础设施建设。探索发展“航电结合”等投融资模式，按相关政策给予投资补助，鼓励社会资本投资建设航电枢纽。鼓励社会资本投资建设港口、内河航运设施等。积极吸引社会资本参与盈利状况较好的枢纽机场、干线机场以及机场配套服务</w:t>
      </w:r>
      <w:r w:rsidRPr="000E7D5C">
        <w:rPr>
          <w:rFonts w:ascii="微软雅黑" w:eastAsia="微软雅黑" w:hAnsi="微软雅黑" w:cs="宋体" w:hint="eastAsia"/>
          <w:color w:val="333333"/>
          <w:kern w:val="0"/>
          <w:sz w:val="27"/>
          <w:szCs w:val="27"/>
        </w:rPr>
        <w:lastRenderedPageBreak/>
        <w:t>设施等投资建设，拓宽机场建设资金来源。</w:t>
      </w:r>
      <w:r w:rsidRPr="000E7D5C">
        <w:rPr>
          <w:rFonts w:ascii="微软雅黑" w:eastAsia="微软雅黑" w:hAnsi="微软雅黑" w:cs="宋体" w:hint="eastAsia"/>
          <w:color w:val="333333"/>
          <w:kern w:val="0"/>
          <w:sz w:val="27"/>
          <w:szCs w:val="27"/>
        </w:rPr>
        <w:br/>
        <w:t xml:space="preserve">　　六、鼓励社会资本加强能源设施投资</w:t>
      </w:r>
      <w:r w:rsidRPr="000E7D5C">
        <w:rPr>
          <w:rFonts w:ascii="微软雅黑" w:eastAsia="微软雅黑" w:hAnsi="微软雅黑" w:cs="宋体" w:hint="eastAsia"/>
          <w:color w:val="333333"/>
          <w:kern w:val="0"/>
          <w:sz w:val="27"/>
          <w:szCs w:val="27"/>
        </w:rPr>
        <w:br/>
        <w:t xml:space="preserve">　　（十八）鼓励社会资本参与电力建设。在做好生态环境保护、移民安置和确保工程安全的前提下，通过业主招标等方式，鼓励社会资本投资常规水电站和抽水蓄能电站。在确保具备核电控股资质主体承担核安全责任的前提下，引入社会资本参与核电项目投资，鼓励民间资本进入核电设备研制和核电服务领域。鼓励社会资本投资建设风光电、生物质能等清洁能源项目和背压式热电联产机组，进入清洁高效煤电项目建设、燃煤电厂节能减排升级改造领域。</w:t>
      </w:r>
      <w:r w:rsidRPr="000E7D5C">
        <w:rPr>
          <w:rFonts w:ascii="微软雅黑" w:eastAsia="微软雅黑" w:hAnsi="微软雅黑" w:cs="宋体" w:hint="eastAsia"/>
          <w:color w:val="333333"/>
          <w:kern w:val="0"/>
          <w:sz w:val="27"/>
          <w:szCs w:val="27"/>
        </w:rPr>
        <w:br/>
        <w:t xml:space="preserve">　　（十九）鼓励社会资本参与电网建设。积极吸引社会资本投资建设跨区输电通道、区域主干电网完善工程和大中城市配电网工程。将海南联网Ⅱ回线路和滇西北送广东特高压直流输电工程等项目作为试点，引入社会资本。鼓励社会资本投资建设分布式电源并网工程、储能装置和电动汽车充换电设施。</w:t>
      </w:r>
      <w:r w:rsidRPr="000E7D5C">
        <w:rPr>
          <w:rFonts w:ascii="微软雅黑" w:eastAsia="微软雅黑" w:hAnsi="微软雅黑" w:cs="宋体" w:hint="eastAsia"/>
          <w:color w:val="333333"/>
          <w:kern w:val="0"/>
          <w:sz w:val="27"/>
          <w:szCs w:val="27"/>
        </w:rPr>
        <w:br/>
        <w:t xml:space="preserve">　　（二十）鼓励社会资本参与油气管网、储存设施和煤炭储运建设运营。支持民营企业、地方国有企业等参股建设油气管网主干线、沿海液化天然气（LNG）接收站、地下储气库、城市配气管网和城市储气设施，控股建设油气管网支线、原油和成品油商业储备库。鼓励社会资本参与铁路运煤干线和煤炭储配体系建设。国家规划确定的石化基地炼化一体化项目向社会资本开放。</w:t>
      </w:r>
      <w:r w:rsidRPr="000E7D5C">
        <w:rPr>
          <w:rFonts w:ascii="微软雅黑" w:eastAsia="微软雅黑" w:hAnsi="微软雅黑" w:cs="宋体" w:hint="eastAsia"/>
          <w:color w:val="333333"/>
          <w:kern w:val="0"/>
          <w:sz w:val="27"/>
          <w:szCs w:val="27"/>
        </w:rPr>
        <w:br/>
        <w:t xml:space="preserve">　　（二十一）理顺能源价格机制。进一步推进天然气价格改革，2015年实现存量气和增量气价格并轨，逐步放开非居民用天然气气源价格，</w:t>
      </w:r>
      <w:r w:rsidRPr="000E7D5C">
        <w:rPr>
          <w:rFonts w:ascii="微软雅黑" w:eastAsia="微软雅黑" w:hAnsi="微软雅黑" w:cs="宋体" w:hint="eastAsia"/>
          <w:color w:val="333333"/>
          <w:kern w:val="0"/>
          <w:sz w:val="27"/>
          <w:szCs w:val="27"/>
        </w:rPr>
        <w:lastRenderedPageBreak/>
        <w:t>落实页岩气、煤层气等非常规天然气价格市场化政策。尽快出台天然气管道运输价格政策。按照合理成本加合理利润的原则，适时调整煤层气发电、余热余压发电上网标杆电价。推进天然气分布式能源冷、热、电价格市场化。完善可再生能源发电价格政策，研究建立流域梯级效益补偿机制，适时调整完善燃煤发电机组环保电价政策。</w:t>
      </w:r>
      <w:r w:rsidRPr="000E7D5C">
        <w:rPr>
          <w:rFonts w:ascii="微软雅黑" w:eastAsia="微软雅黑" w:hAnsi="微软雅黑" w:cs="宋体" w:hint="eastAsia"/>
          <w:color w:val="333333"/>
          <w:kern w:val="0"/>
          <w:sz w:val="27"/>
          <w:szCs w:val="27"/>
        </w:rPr>
        <w:br/>
        <w:t xml:space="preserve">　　七、推进信息和民用空间基础设施投资主体多元化</w:t>
      </w:r>
      <w:r w:rsidRPr="000E7D5C">
        <w:rPr>
          <w:rFonts w:ascii="微软雅黑" w:eastAsia="微软雅黑" w:hAnsi="微软雅黑" w:cs="宋体" w:hint="eastAsia"/>
          <w:color w:val="333333"/>
          <w:kern w:val="0"/>
          <w:sz w:val="27"/>
          <w:szCs w:val="27"/>
        </w:rPr>
        <w:br/>
        <w:t xml:space="preserve">　　（二十二）鼓励电信业进一步向民间资本开放。进一步完善法律法规，尽快修订电信业务分类目录。研究出台具体试点办法，鼓励和引导民间资本投资宽带接入网络建设和业务运营，大力发展宽带用户。推进民营企业开展移动通信转售业务试点工作，促进业务创新发展。</w:t>
      </w:r>
      <w:r w:rsidRPr="000E7D5C">
        <w:rPr>
          <w:rFonts w:ascii="微软雅黑" w:eastAsia="微软雅黑" w:hAnsi="微软雅黑" w:cs="宋体" w:hint="eastAsia"/>
          <w:color w:val="333333"/>
          <w:kern w:val="0"/>
          <w:sz w:val="27"/>
          <w:szCs w:val="27"/>
        </w:rPr>
        <w:br/>
        <w:t xml:space="preserve">　　（二十三）吸引民间资本加大信息基础设施投资力度。支持基础电信企业引入民间战略投资者。推动中国铁塔股份有限公司引入民间资本，实现混合所有制发展。</w:t>
      </w:r>
      <w:r w:rsidRPr="000E7D5C">
        <w:rPr>
          <w:rFonts w:ascii="微软雅黑" w:eastAsia="微软雅黑" w:hAnsi="微软雅黑" w:cs="宋体" w:hint="eastAsia"/>
          <w:color w:val="333333"/>
          <w:kern w:val="0"/>
          <w:sz w:val="27"/>
          <w:szCs w:val="27"/>
        </w:rPr>
        <w:br/>
        <w:t xml:space="preserve">　　（二十四）鼓励民间资本参与国家民用空间基础设施建设。完善民用遥感卫星数据政策，加强政府采购服务，鼓励民间资本研制、发射和运营商业遥感卫星，提供市场化、专业化服务。引导民间资本参与卫星导航地面应用系统建设。</w:t>
      </w:r>
      <w:r w:rsidRPr="000E7D5C">
        <w:rPr>
          <w:rFonts w:ascii="微软雅黑" w:eastAsia="微软雅黑" w:hAnsi="微软雅黑" w:cs="宋体" w:hint="eastAsia"/>
          <w:color w:val="333333"/>
          <w:kern w:val="0"/>
          <w:sz w:val="27"/>
          <w:szCs w:val="27"/>
        </w:rPr>
        <w:br/>
        <w:t xml:space="preserve">　　八、鼓励社会资本加大社会事业投资力度</w:t>
      </w:r>
      <w:r w:rsidRPr="000E7D5C">
        <w:rPr>
          <w:rFonts w:ascii="微软雅黑" w:eastAsia="微软雅黑" w:hAnsi="微软雅黑" w:cs="宋体" w:hint="eastAsia"/>
          <w:color w:val="333333"/>
          <w:kern w:val="0"/>
          <w:sz w:val="27"/>
          <w:szCs w:val="27"/>
        </w:rPr>
        <w:br/>
        <w:t xml:space="preserve">　　（二十五）加快社会事业公立机构分类改革。积极推进养老、文化、旅游、体育等领域符合条件的事业单位，以及公立医院资源丰富地区符合条件的医疗事业单位改制，为社会资本进入创造条件，鼓励社会资本参与公立机构改革。将符合条件的国有单位培训疗养机构转变为养老机</w:t>
      </w:r>
      <w:r w:rsidRPr="000E7D5C">
        <w:rPr>
          <w:rFonts w:ascii="微软雅黑" w:eastAsia="微软雅黑" w:hAnsi="微软雅黑" w:cs="宋体" w:hint="eastAsia"/>
          <w:color w:val="333333"/>
          <w:kern w:val="0"/>
          <w:sz w:val="27"/>
          <w:szCs w:val="27"/>
        </w:rPr>
        <w:lastRenderedPageBreak/>
        <w:t>构。</w:t>
      </w:r>
      <w:r w:rsidRPr="000E7D5C">
        <w:rPr>
          <w:rFonts w:ascii="微软雅黑" w:eastAsia="微软雅黑" w:hAnsi="微软雅黑" w:cs="宋体" w:hint="eastAsia"/>
          <w:color w:val="333333"/>
          <w:kern w:val="0"/>
          <w:sz w:val="27"/>
          <w:szCs w:val="27"/>
        </w:rPr>
        <w:br/>
        <w:t xml:space="preserve">　　（二十六）鼓励社会资本加大社会事业投资力度。通过独资、合资、合作、联营、租赁等途径，采取特许经营、公建民营、民办公助等方式，鼓励社会资本参与教育、医疗、养老、体育健身、文化设施建设。尽快出台鼓励社会力量兴办教育、促进民办教育健康发展的意见。各地在编制城市总体规划、控制性详细规划以及有关专项规划时，要统筹规划、科学布局各类公共服务设施。各级政府逐步扩大教育、医疗、养老、体育健身、文化等政府购买服务范围，各类经营主体平等参与。将符合条件的各类医疗机构纳入医疗保险定点范围。</w:t>
      </w:r>
      <w:r w:rsidRPr="000E7D5C">
        <w:rPr>
          <w:rFonts w:ascii="微软雅黑" w:eastAsia="微软雅黑" w:hAnsi="微软雅黑" w:cs="宋体" w:hint="eastAsia"/>
          <w:color w:val="333333"/>
          <w:kern w:val="0"/>
          <w:sz w:val="27"/>
          <w:szCs w:val="27"/>
        </w:rPr>
        <w:br/>
        <w:t xml:space="preserve">　　（二十七）完善落实社会事业建设运营税费优惠政策。进一步完善落实非营利性教育、医疗、养老、体育健身、文化机构税收优惠政策。对非营利性医疗、养老机构建设一律免征有关行政事业性收费，对营利性医疗、养老机构建设一律减半征收有关行政事业性收费。</w:t>
      </w:r>
      <w:r w:rsidRPr="000E7D5C">
        <w:rPr>
          <w:rFonts w:ascii="微软雅黑" w:eastAsia="微软雅黑" w:hAnsi="微软雅黑" w:cs="宋体" w:hint="eastAsia"/>
          <w:color w:val="333333"/>
          <w:kern w:val="0"/>
          <w:sz w:val="27"/>
          <w:szCs w:val="27"/>
        </w:rPr>
        <w:br/>
        <w:t xml:space="preserve">　　（二十八）改进社会事业价格管理政策。民办教育、医疗机构用电、用水、用气、用热，执行与公办教育、医疗机构相同的价格政策。养老机构用电、用水、用气、用热，按居民生活类价格执行。除公立医疗、养老机构提供的基本服务按照政府规定的价格政策执行外，其他医疗、养老服务实行经营者自主定价。营利性民办学校收费实行自主定价，非营利性民办学校收费政策由地方政府按照市场化方向根据当地实际情况确定。</w:t>
      </w:r>
      <w:r w:rsidRPr="000E7D5C">
        <w:rPr>
          <w:rFonts w:ascii="微软雅黑" w:eastAsia="微软雅黑" w:hAnsi="微软雅黑" w:cs="宋体" w:hint="eastAsia"/>
          <w:color w:val="333333"/>
          <w:kern w:val="0"/>
          <w:sz w:val="27"/>
          <w:szCs w:val="27"/>
        </w:rPr>
        <w:br/>
        <w:t xml:space="preserve">　　九、建立健全政府和社会资本合作（PPP）机制</w:t>
      </w:r>
      <w:r w:rsidRPr="000E7D5C">
        <w:rPr>
          <w:rFonts w:ascii="微软雅黑" w:eastAsia="微软雅黑" w:hAnsi="微软雅黑" w:cs="宋体" w:hint="eastAsia"/>
          <w:color w:val="333333"/>
          <w:kern w:val="0"/>
          <w:sz w:val="27"/>
          <w:szCs w:val="27"/>
        </w:rPr>
        <w:br/>
        <w:t xml:space="preserve">　　（二十九）推广政府和社会资本合作（PPP）模式。认真总结经验，</w:t>
      </w:r>
      <w:r w:rsidRPr="000E7D5C">
        <w:rPr>
          <w:rFonts w:ascii="微软雅黑" w:eastAsia="微软雅黑" w:hAnsi="微软雅黑" w:cs="宋体" w:hint="eastAsia"/>
          <w:color w:val="333333"/>
          <w:kern w:val="0"/>
          <w:sz w:val="27"/>
          <w:szCs w:val="27"/>
        </w:rPr>
        <w:lastRenderedPageBreak/>
        <w:t>加强政策引导，在公共服务、资源环境、生态保护、基础设施等领域，积极推广PPP模式，规范选择项目合作伙伴，引入社会资本，增强公共产品供给能力。政府有关部门要严格按照预算管理有关法律法规，完善财政补贴制度，切实控制和防范财政风险。健全PPP模式的法规体系，保障项目顺利运行。鼓励通过PPP方式盘活存量资源，变现资金要用于重点领域建设。</w:t>
      </w:r>
      <w:r w:rsidRPr="000E7D5C">
        <w:rPr>
          <w:rFonts w:ascii="微软雅黑" w:eastAsia="微软雅黑" w:hAnsi="微软雅黑" w:cs="宋体" w:hint="eastAsia"/>
          <w:color w:val="333333"/>
          <w:kern w:val="0"/>
          <w:sz w:val="27"/>
          <w:szCs w:val="27"/>
        </w:rPr>
        <w:br/>
        <w:t xml:space="preserve">　　（三十）规范合作关系保障各方利益。政府有关部门要制定管理办法，尽快发布标准合同范本，对PPP项目的业主选择、价格管理、回报方式、服务标准、信息披露、违约处罚、政府接管以及评估论证等进行详细规定，规范合作关系。平衡好社会公众与投资者利益关系，既要保障社会公众利益不受损害，又要保障经营者合法权益。</w:t>
      </w:r>
      <w:r w:rsidRPr="000E7D5C">
        <w:rPr>
          <w:rFonts w:ascii="微软雅黑" w:eastAsia="微软雅黑" w:hAnsi="微软雅黑" w:cs="宋体" w:hint="eastAsia"/>
          <w:color w:val="333333"/>
          <w:kern w:val="0"/>
          <w:sz w:val="27"/>
          <w:szCs w:val="27"/>
        </w:rPr>
        <w:br/>
        <w:t xml:space="preserve">　　（三十一）健全风险防范和监督机制。政府和投资者应对PPP项目可能产生的政策风险、商业风险、环境风险、法律风险等进行充分论证，完善合同设计，健全纠纷解决和风险防范机制。建立独立、透明、可问责、专业化的PPP项目监管体系，形成由政府监管部门、投资者、社会公众、专家、媒体等共同参与的监督机制。</w:t>
      </w:r>
      <w:r w:rsidRPr="000E7D5C">
        <w:rPr>
          <w:rFonts w:ascii="微软雅黑" w:eastAsia="微软雅黑" w:hAnsi="微软雅黑" w:cs="宋体" w:hint="eastAsia"/>
          <w:color w:val="333333"/>
          <w:kern w:val="0"/>
          <w:sz w:val="27"/>
          <w:szCs w:val="27"/>
        </w:rPr>
        <w:br/>
        <w:t xml:space="preserve">　　（三十二）健全退出机制。政府要与投资者明确PPP项目的退出路径，保障项目持续稳定运行。项目合作结束后，政府应组织做好接管工作，妥善处理投资回收、资产处理等事宜。</w:t>
      </w:r>
      <w:r w:rsidRPr="000E7D5C">
        <w:rPr>
          <w:rFonts w:ascii="微软雅黑" w:eastAsia="微软雅黑" w:hAnsi="微软雅黑" w:cs="宋体" w:hint="eastAsia"/>
          <w:color w:val="333333"/>
          <w:kern w:val="0"/>
          <w:sz w:val="27"/>
          <w:szCs w:val="27"/>
        </w:rPr>
        <w:br/>
        <w:t xml:space="preserve">　　十、充分发挥政府投资的引导带动作用</w:t>
      </w:r>
      <w:r w:rsidRPr="000E7D5C">
        <w:rPr>
          <w:rFonts w:ascii="微软雅黑" w:eastAsia="微软雅黑" w:hAnsi="微软雅黑" w:cs="宋体" w:hint="eastAsia"/>
          <w:color w:val="333333"/>
          <w:kern w:val="0"/>
          <w:sz w:val="27"/>
          <w:szCs w:val="27"/>
        </w:rPr>
        <w:br/>
        <w:t xml:space="preserve">　　（三十三）优化政府投资使用方向。政府投资主要投向公益性和基础性建设。对鼓励社会资本参与的生态环保、农林水利、市政基础设施、</w:t>
      </w:r>
      <w:r w:rsidRPr="000E7D5C">
        <w:rPr>
          <w:rFonts w:ascii="微软雅黑" w:eastAsia="微软雅黑" w:hAnsi="微软雅黑" w:cs="宋体" w:hint="eastAsia"/>
          <w:color w:val="333333"/>
          <w:kern w:val="0"/>
          <w:sz w:val="27"/>
          <w:szCs w:val="27"/>
        </w:rPr>
        <w:lastRenderedPageBreak/>
        <w:t>社会事业等重点领域，政府投资可根据实际情况给予支持，充分发挥政府投资“四两拨千斤”的引导带动作用。</w:t>
      </w:r>
      <w:r w:rsidRPr="000E7D5C">
        <w:rPr>
          <w:rFonts w:ascii="微软雅黑" w:eastAsia="微软雅黑" w:hAnsi="微软雅黑" w:cs="宋体" w:hint="eastAsia"/>
          <w:color w:val="333333"/>
          <w:kern w:val="0"/>
          <w:sz w:val="27"/>
          <w:szCs w:val="27"/>
        </w:rPr>
        <w:br/>
        <w:t xml:space="preserve">　　（三十四）改进政府投资使用方式。在同等条件下，政府投资优先支持引入社会资本的项目，根据不同项目情况，通过投资补助、基金注资、担保补贴、贷款贴息等方式，支持社会资本参与重点领域建设。抓紧制定政府投资支持社会投资项目的管理办法，规范政府投资安排行为。</w:t>
      </w:r>
      <w:r w:rsidRPr="000E7D5C">
        <w:rPr>
          <w:rFonts w:ascii="微软雅黑" w:eastAsia="微软雅黑" w:hAnsi="微软雅黑" w:cs="宋体" w:hint="eastAsia"/>
          <w:color w:val="333333"/>
          <w:kern w:val="0"/>
          <w:sz w:val="27"/>
          <w:szCs w:val="27"/>
        </w:rPr>
        <w:br/>
        <w:t xml:space="preserve">　　十一、创新融资方式拓宽融资渠道</w:t>
      </w:r>
      <w:r w:rsidRPr="000E7D5C">
        <w:rPr>
          <w:rFonts w:ascii="微软雅黑" w:eastAsia="微软雅黑" w:hAnsi="微软雅黑" w:cs="宋体" w:hint="eastAsia"/>
          <w:color w:val="333333"/>
          <w:kern w:val="0"/>
          <w:sz w:val="27"/>
          <w:szCs w:val="27"/>
        </w:rPr>
        <w:br/>
        <w:t xml:space="preserve">　　（三十五）探索创新信贷服务。支持开展排污权、收费权、集体林权、特许经营权、购买服务协议预期收益、集体土地承包经营权质押贷款等担保创新类贷款业务。探索利用工程供水、供热、发电、污水垃圾处理等预期收益质押贷款，允许利用相关收益作为还款来源。鼓励金融机构对民间资本举办的社会事业提供融资支持。</w:t>
      </w:r>
      <w:r w:rsidRPr="000E7D5C">
        <w:rPr>
          <w:rFonts w:ascii="微软雅黑" w:eastAsia="微软雅黑" w:hAnsi="微软雅黑" w:cs="宋体" w:hint="eastAsia"/>
          <w:color w:val="333333"/>
          <w:kern w:val="0"/>
          <w:sz w:val="27"/>
          <w:szCs w:val="27"/>
        </w:rPr>
        <w:br/>
        <w:t xml:space="preserve">　　（三十六）推进农业金融改革。探索采取信用担保和贴息、业务奖励、风险补偿、费用补贴、投资基金，以及互助信用、农业保险等方式，增强农民合作社、家庭农场（林场）、专业大户、农林业企业的贷款融资能力和风险抵御能力。</w:t>
      </w:r>
      <w:r w:rsidRPr="000E7D5C">
        <w:rPr>
          <w:rFonts w:ascii="微软雅黑" w:eastAsia="微软雅黑" w:hAnsi="微软雅黑" w:cs="宋体" w:hint="eastAsia"/>
          <w:color w:val="333333"/>
          <w:kern w:val="0"/>
          <w:sz w:val="27"/>
          <w:szCs w:val="27"/>
        </w:rPr>
        <w:br/>
        <w:t xml:space="preserve">　　（三十七）充分发挥政策性金融机构的积极作用。在国家批准的业务范围内，加大对公共服务、生态环保、基础设施建设项目的支持力度。努力为生态环保、农林水利、中西部铁路和公路、城市基础设施等重大工程提供长期稳定、低成本的资金支持。</w:t>
      </w:r>
      <w:r w:rsidRPr="000E7D5C">
        <w:rPr>
          <w:rFonts w:ascii="微软雅黑" w:eastAsia="微软雅黑" w:hAnsi="微软雅黑" w:cs="宋体" w:hint="eastAsia"/>
          <w:color w:val="333333"/>
          <w:kern w:val="0"/>
          <w:sz w:val="27"/>
          <w:szCs w:val="27"/>
        </w:rPr>
        <w:br/>
        <w:t xml:space="preserve">　　（三十八）鼓励发展支持重点领域建设的投资基金。大力发展股权投资基金和创业投资基金，鼓励民间资本采取私募等方式发起设立主要</w:t>
      </w:r>
      <w:r w:rsidRPr="000E7D5C">
        <w:rPr>
          <w:rFonts w:ascii="微软雅黑" w:eastAsia="微软雅黑" w:hAnsi="微软雅黑" w:cs="宋体" w:hint="eastAsia"/>
          <w:color w:val="333333"/>
          <w:kern w:val="0"/>
          <w:sz w:val="27"/>
          <w:szCs w:val="27"/>
        </w:rPr>
        <w:lastRenderedPageBreak/>
        <w:t>投资于公共服务、生态环保、基础设施、区域开发、战略性新兴产业、先进制造业等领域的产业投资基金。政府可以使用包括中央预算内投资在内的财政性资金，通过认购基金份额等方式予以支持。</w:t>
      </w:r>
      <w:r w:rsidRPr="000E7D5C">
        <w:rPr>
          <w:rFonts w:ascii="微软雅黑" w:eastAsia="微软雅黑" w:hAnsi="微软雅黑" w:cs="宋体" w:hint="eastAsia"/>
          <w:color w:val="333333"/>
          <w:kern w:val="0"/>
          <w:sz w:val="27"/>
          <w:szCs w:val="27"/>
        </w:rPr>
        <w:br/>
        <w:t xml:space="preserve">　　（三十九）支持重点领域建设项目开展股权和债权融资。大力发展债权投资计划、股权投资计划、资产支持计划等融资工具，延长投资期限，引导社保资金、保险资金等用于收益稳定、回收期长的基础设施和基础产业项目。支持重点领域建设项目采用企业债券、项目收益债券、公司债券、中期票据等方式通过债券市场筹措投资资金。推动铁路、公路、机场等交通项目建设企业应收账款证券化。建立规范的地方政府举债融资机制，支持地方政府依法依规发行债券，用于重点领域建设。</w:t>
      </w:r>
      <w:r w:rsidRPr="000E7D5C">
        <w:rPr>
          <w:rFonts w:ascii="微软雅黑" w:eastAsia="微软雅黑" w:hAnsi="微软雅黑" w:cs="宋体" w:hint="eastAsia"/>
          <w:color w:val="333333"/>
          <w:kern w:val="0"/>
          <w:sz w:val="27"/>
          <w:szCs w:val="27"/>
        </w:rPr>
        <w:br/>
        <w:t xml:space="preserve">　　创新重点领域投融资机制对稳增长、促改革、调结构、惠民生具有重要作用。各地区、各有关部门要从大局出发，进一步提高认识，加强组织领导，健全工作机制，协调推动重点领域投融资机制创新。各地政府要结合本地实际，抓紧制定具体实施细则，确保各项措施落到实处。国务院各有关部门要严格按照分工，抓紧制定相关配套措施，加快重点领域建设，同时要加强宣传解读，让社会资本了解参与方式、运营方式、盈利模式、投资回报等相关政策，进一步稳定市场预期，充分调动社会投资积极性，切实发挥好投资对经济增长的关键作用。发展改革委要会同有关部门加强对本指导意见落实情况的督促检查，重大问题及时向国务院报告。</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br/>
        <w:t xml:space="preserve">　　附件：重点政策措施文件分工方案</w:t>
      </w:r>
    </w:p>
    <w:p w:rsidR="000E7D5C" w:rsidRPr="000E7D5C" w:rsidRDefault="000E7D5C" w:rsidP="000E7D5C">
      <w:pPr>
        <w:widowControl/>
        <w:shd w:val="clear" w:color="auto" w:fill="FFFFFF"/>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lastRenderedPageBreak/>
        <w:t xml:space="preserve">　　　　　　　　　　　　　　　　　　　　　　　　　　　　　　　国务院</w:t>
      </w:r>
      <w:r w:rsidRPr="000E7D5C">
        <w:rPr>
          <w:rFonts w:ascii="微软雅黑" w:eastAsia="微软雅黑" w:hAnsi="微软雅黑" w:cs="宋体" w:hint="eastAsia"/>
          <w:color w:val="333333"/>
          <w:kern w:val="0"/>
          <w:sz w:val="27"/>
          <w:szCs w:val="27"/>
        </w:rPr>
        <w:br/>
        <w:t xml:space="preserve">　　　　　　　　　　　　　　　　　　　　　　　　　　　　　2014年11月16日</w:t>
      </w:r>
      <w:r w:rsidRPr="000E7D5C">
        <w:rPr>
          <w:rFonts w:ascii="微软雅黑" w:eastAsia="微软雅黑" w:hAnsi="微软雅黑" w:cs="宋体" w:hint="eastAsia"/>
          <w:color w:val="333333"/>
          <w:kern w:val="0"/>
          <w:sz w:val="27"/>
          <w:szCs w:val="27"/>
        </w:rPr>
        <w:br/>
        <w:t xml:space="preserve">　　（此件公开发布）</w:t>
      </w:r>
    </w:p>
    <w:p w:rsidR="000E7D5C" w:rsidRPr="000E7D5C" w:rsidRDefault="000E7D5C" w:rsidP="000E7D5C">
      <w:pPr>
        <w:widowControl/>
        <w:shd w:val="clear" w:color="auto" w:fill="FFFFFF"/>
        <w:spacing w:after="180"/>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w:t>
      </w:r>
    </w:p>
    <w:p w:rsidR="000E7D5C" w:rsidRPr="000E7D5C" w:rsidRDefault="000E7D5C" w:rsidP="000E7D5C">
      <w:pPr>
        <w:widowControl/>
        <w:shd w:val="clear" w:color="auto" w:fill="FFFFFF"/>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附件</w:t>
      </w:r>
    </w:p>
    <w:p w:rsidR="000E7D5C" w:rsidRPr="000E7D5C" w:rsidRDefault="000E7D5C" w:rsidP="000E7D5C">
      <w:pPr>
        <w:widowControl/>
        <w:shd w:val="clear" w:color="auto" w:fill="FFFFFF"/>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重点政策措施文件分工方案</w:t>
      </w:r>
    </w:p>
    <w:tbl>
      <w:tblPr>
        <w:tblW w:w="8612" w:type="dxa"/>
        <w:jc w:val="center"/>
        <w:shd w:val="clear" w:color="auto" w:fill="FFFFFF"/>
        <w:tblLook w:val="04A0" w:firstRow="1" w:lastRow="0" w:firstColumn="1" w:lastColumn="0" w:noHBand="0" w:noVBand="1"/>
      </w:tblPr>
      <w:tblGrid>
        <w:gridCol w:w="668"/>
        <w:gridCol w:w="3637"/>
        <w:gridCol w:w="2426"/>
        <w:gridCol w:w="1881"/>
      </w:tblGrid>
      <w:tr w:rsidR="000E7D5C" w:rsidRPr="000E7D5C" w:rsidTr="000E7D5C">
        <w:trPr>
          <w:jc w:val="center"/>
        </w:trPr>
        <w:tc>
          <w:tcPr>
            <w:tcW w:w="66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序号</w:t>
            </w:r>
          </w:p>
        </w:tc>
        <w:tc>
          <w:tcPr>
            <w:tcW w:w="3599" w:type="dxa"/>
            <w:tcBorders>
              <w:top w:val="single" w:sz="4" w:space="0" w:color="000000"/>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政策措施文件</w:t>
            </w:r>
          </w:p>
        </w:tc>
        <w:tc>
          <w:tcPr>
            <w:tcW w:w="2401" w:type="dxa"/>
            <w:tcBorders>
              <w:top w:val="single" w:sz="4" w:space="0" w:color="000000"/>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负责单位</w:t>
            </w:r>
          </w:p>
        </w:tc>
        <w:tc>
          <w:tcPr>
            <w:tcW w:w="1861" w:type="dxa"/>
            <w:tcBorders>
              <w:top w:val="single" w:sz="4" w:space="0" w:color="000000"/>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出台时间</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1</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大力推行环境污染第三方治理</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发展改革委、环境保护部</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2014年底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推进排污权、碳排放权交易试点，鼓励社会资本参与污染减排和排污权、碳排放权交易</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财政部、环境保护部、发展改革委、林业局、证监会（其中碳排放</w:t>
            </w:r>
            <w:r w:rsidRPr="000E7D5C">
              <w:rPr>
                <w:rFonts w:ascii="微软雅黑" w:eastAsia="微软雅黑" w:hAnsi="微软雅黑" w:cs="宋体" w:hint="eastAsia"/>
                <w:color w:val="333333"/>
                <w:kern w:val="0"/>
                <w:sz w:val="27"/>
                <w:szCs w:val="27"/>
              </w:rPr>
              <w:br/>
              <w:t>权交易由发展改革委</w:t>
            </w:r>
            <w:r w:rsidRPr="000E7D5C">
              <w:rPr>
                <w:rFonts w:ascii="微软雅黑" w:eastAsia="微软雅黑" w:hAnsi="微软雅黑" w:cs="宋体" w:hint="eastAsia"/>
                <w:color w:val="333333"/>
                <w:kern w:val="0"/>
                <w:sz w:val="27"/>
                <w:szCs w:val="27"/>
              </w:rPr>
              <w:br/>
              <w:t>牵头）</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3</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鼓励和引导社会资本参与节水供水重大水利工程建设运营的实施意见，积极探索多种</w:t>
            </w:r>
            <w:r w:rsidRPr="000E7D5C">
              <w:rPr>
                <w:rFonts w:ascii="微软雅黑" w:eastAsia="微软雅黑" w:hAnsi="微软雅黑" w:cs="宋体" w:hint="eastAsia"/>
                <w:color w:val="333333"/>
                <w:kern w:val="0"/>
                <w:sz w:val="27"/>
                <w:szCs w:val="27"/>
              </w:rPr>
              <w:lastRenderedPageBreak/>
              <w:t>形式的水权交易流转方式，鼓励社会资本参与节水供水重大水利工程投资建设</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lastRenderedPageBreak/>
              <w:t>水利部、发展改革委、证监会</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lastRenderedPageBreak/>
              <w:t>4</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选择若干县城和重点镇推行试点，加大对市政基础设施建设运营引入市场机制的政策支持力度</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住房城乡建设部、发</w:t>
            </w:r>
            <w:r w:rsidRPr="000E7D5C">
              <w:rPr>
                <w:rFonts w:ascii="微软雅黑" w:eastAsia="微软雅黑" w:hAnsi="微软雅黑" w:cs="宋体" w:hint="eastAsia"/>
                <w:color w:val="333333"/>
                <w:kern w:val="0"/>
                <w:sz w:val="27"/>
                <w:szCs w:val="27"/>
              </w:rPr>
              <w:br/>
              <w:t>展改革委</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2014年底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5</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通过业主招标等方式，鼓励社会资本投资常规水电站和抽水蓄能电站</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能源局</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2014年底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6</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支持民间资本投资宽带接入网络建设和业务运营</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工业和信息化部</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7</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政府投资支持社会投资项目的管理办法</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发展改革委、财政部</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8</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创新融资方式，拓宽融资渠道</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人民银行、银监会、</w:t>
            </w:r>
            <w:r w:rsidRPr="000E7D5C">
              <w:rPr>
                <w:rFonts w:ascii="微软雅黑" w:eastAsia="微软雅黑" w:hAnsi="微软雅黑" w:cs="宋体" w:hint="eastAsia"/>
                <w:color w:val="333333"/>
                <w:kern w:val="0"/>
                <w:sz w:val="27"/>
                <w:szCs w:val="27"/>
              </w:rPr>
              <w:br/>
              <w:t>证监会、保监会、财</w:t>
            </w:r>
            <w:r w:rsidRPr="000E7D5C">
              <w:rPr>
                <w:rFonts w:ascii="微软雅黑" w:eastAsia="微软雅黑" w:hAnsi="微软雅黑" w:cs="宋体" w:hint="eastAsia"/>
                <w:color w:val="333333"/>
                <w:kern w:val="0"/>
                <w:sz w:val="27"/>
                <w:szCs w:val="27"/>
              </w:rPr>
              <w:br/>
              <w:t>政部</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9</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政府使用包括中央预算内投资在内的财政性资金，支持重点领域产业投资基金管理办法</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发展改革委</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r w:rsidR="000E7D5C" w:rsidRPr="000E7D5C" w:rsidTr="000E7D5C">
        <w:trPr>
          <w:jc w:val="center"/>
        </w:trPr>
        <w:tc>
          <w:tcPr>
            <w:tcW w:w="661" w:type="dxa"/>
            <w:tcBorders>
              <w:top w:val="nil"/>
              <w:left w:val="single" w:sz="4" w:space="0" w:color="000000"/>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lastRenderedPageBreak/>
              <w:t>10</w:t>
            </w:r>
          </w:p>
        </w:tc>
        <w:tc>
          <w:tcPr>
            <w:tcW w:w="3599"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完善价格形成机制，增强重点领域建设吸引社会投资能力</w:t>
            </w:r>
          </w:p>
        </w:tc>
        <w:tc>
          <w:tcPr>
            <w:tcW w:w="240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发展改革委、国务院</w:t>
            </w:r>
            <w:r w:rsidRPr="000E7D5C">
              <w:rPr>
                <w:rFonts w:ascii="微软雅黑" w:eastAsia="微软雅黑" w:hAnsi="微软雅黑" w:cs="宋体" w:hint="eastAsia"/>
                <w:color w:val="333333"/>
                <w:kern w:val="0"/>
                <w:sz w:val="27"/>
                <w:szCs w:val="27"/>
              </w:rPr>
              <w:br/>
              <w:t>有关部门</w:t>
            </w:r>
          </w:p>
        </w:tc>
        <w:tc>
          <w:tcPr>
            <w:tcW w:w="1861" w:type="dxa"/>
            <w:tcBorders>
              <w:top w:val="nil"/>
              <w:left w:val="nil"/>
              <w:bottom w:val="single" w:sz="4" w:space="0" w:color="000000"/>
              <w:right w:val="single" w:sz="4" w:space="0" w:color="000000"/>
            </w:tcBorders>
            <w:shd w:val="clear" w:color="auto" w:fill="FFFFFF"/>
            <w:vAlign w:val="center"/>
            <w:hideMark/>
          </w:tcPr>
          <w:p w:rsidR="000E7D5C" w:rsidRPr="000E7D5C" w:rsidRDefault="000E7D5C" w:rsidP="000E7D5C">
            <w:pPr>
              <w:widowControl/>
              <w:jc w:val="center"/>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2015年3月底</w:t>
            </w:r>
          </w:p>
        </w:tc>
      </w:tr>
    </w:tbl>
    <w:p w:rsidR="000E7D5C" w:rsidRPr="000E7D5C" w:rsidRDefault="000E7D5C" w:rsidP="000E7D5C">
      <w:pPr>
        <w:widowControl/>
        <w:shd w:val="clear" w:color="auto" w:fill="FFFFFF"/>
        <w:spacing w:after="180"/>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xml:space="preserve">　　注：有2个或以上负责单位的，排在第一位的为牵头单位。</w:t>
      </w:r>
    </w:p>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Pr>
        <w:pStyle w:val="3"/>
        <w:jc w:val="center"/>
        <w:rPr>
          <w:sz w:val="30"/>
          <w:szCs w:val="30"/>
          <w:lang w:val="zh-CN"/>
        </w:rPr>
      </w:pPr>
      <w:bookmarkStart w:id="7" w:name="_Toc12864172"/>
      <w:r w:rsidRPr="000E7D5C">
        <w:rPr>
          <w:rFonts w:hint="eastAsia"/>
          <w:sz w:val="30"/>
          <w:szCs w:val="30"/>
          <w:lang w:val="zh-CN"/>
        </w:rPr>
        <w:lastRenderedPageBreak/>
        <w:t>国务院关于深化预算管理制度改革的决定（国发〔</w:t>
      </w:r>
      <w:r w:rsidRPr="000E7D5C">
        <w:rPr>
          <w:rFonts w:hint="eastAsia"/>
          <w:sz w:val="30"/>
          <w:szCs w:val="30"/>
          <w:lang w:val="zh-CN"/>
        </w:rPr>
        <w:t>2014</w:t>
      </w:r>
      <w:r w:rsidRPr="000E7D5C">
        <w:rPr>
          <w:rFonts w:hint="eastAsia"/>
          <w:sz w:val="30"/>
          <w:szCs w:val="30"/>
          <w:lang w:val="zh-CN"/>
        </w:rPr>
        <w:t>〕</w:t>
      </w:r>
      <w:r w:rsidRPr="000E7D5C">
        <w:rPr>
          <w:rFonts w:hint="eastAsia"/>
          <w:sz w:val="30"/>
          <w:szCs w:val="30"/>
          <w:lang w:val="zh-CN"/>
        </w:rPr>
        <w:t>45</w:t>
      </w:r>
      <w:r w:rsidRPr="000E7D5C">
        <w:rPr>
          <w:rFonts w:hint="eastAsia"/>
          <w:sz w:val="30"/>
          <w:szCs w:val="30"/>
          <w:lang w:val="zh-CN"/>
        </w:rPr>
        <w:t>号）</w:t>
      </w:r>
      <w:bookmarkEnd w:id="7"/>
    </w:p>
    <w:p w:rsidR="000E7D5C" w:rsidRPr="000E7D5C" w:rsidRDefault="000E7D5C" w:rsidP="000E7D5C">
      <w:pPr>
        <w:widowControl/>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各省、自治区、直辖市人民政府，国务院各部委、各直属机构：</w:t>
      </w:r>
      <w:r w:rsidRPr="000E7D5C">
        <w:rPr>
          <w:rFonts w:ascii="微软雅黑" w:eastAsia="微软雅黑" w:hAnsi="微软雅黑" w:cs="宋体" w:hint="eastAsia"/>
          <w:color w:val="333333"/>
          <w:kern w:val="0"/>
          <w:sz w:val="27"/>
          <w:szCs w:val="27"/>
        </w:rPr>
        <w:br/>
        <w:t xml:space="preserve">　　为贯彻落实党的十八大和十八届三中全会精神，按照新修订的预算法，改进预算管理，实施全面规范、公开透明的预算制度，现就深化预算管理制度改革作出如下决定。</w:t>
      </w:r>
      <w:r w:rsidRPr="000E7D5C">
        <w:rPr>
          <w:rFonts w:ascii="微软雅黑" w:eastAsia="微软雅黑" w:hAnsi="微软雅黑" w:cs="宋体" w:hint="eastAsia"/>
          <w:color w:val="333333"/>
          <w:kern w:val="0"/>
          <w:sz w:val="27"/>
          <w:szCs w:val="27"/>
        </w:rPr>
        <w:br/>
        <w:t xml:space="preserve">　　一、充分认识深化预算管理制度改革的重要性和紧迫性</w:t>
      </w:r>
      <w:r w:rsidRPr="000E7D5C">
        <w:rPr>
          <w:rFonts w:ascii="微软雅黑" w:eastAsia="微软雅黑" w:hAnsi="微软雅黑" w:cs="宋体" w:hint="eastAsia"/>
          <w:color w:val="333333"/>
          <w:kern w:val="0"/>
          <w:sz w:val="27"/>
          <w:szCs w:val="27"/>
        </w:rPr>
        <w:br/>
        <w:t xml:space="preserve">　　建立与实现现代化相适应的现代财政制度，对于优化资源配置、维护市场统一、促进社会公平、实现国家长治久安具有重要意义。改革开放以来，特别是1995年预算法及预算法实施条例施行以来，在党中央、国务院的正确领导下，我国财政制度改革取得显著成效，初步建立了与社会主义市场经济体制相适应的公共财政制度体系，作为公共财政制度基础的预算管理制度也不断完善，为促进经济社会持续健康发展发挥了重要作用。</w:t>
      </w:r>
      <w:r w:rsidRPr="000E7D5C">
        <w:rPr>
          <w:rFonts w:ascii="微软雅黑" w:eastAsia="微软雅黑" w:hAnsi="微软雅黑" w:cs="宋体" w:hint="eastAsia"/>
          <w:color w:val="333333"/>
          <w:kern w:val="0"/>
          <w:sz w:val="27"/>
          <w:szCs w:val="27"/>
        </w:rPr>
        <w:br/>
        <w:t xml:space="preserve">　　当前，我国已进入全面建成小康社会的关键阶段。随着经济社会发展，现行预算管理制度也暴露出一些不符合公共财政制度和现代国家治理要求的问题，主要表现在：预算管理和控制方式不够科学，跨年度预算平衡机制尚未建立；预算体系不够完善，地方政府债务未纳入预算管理；预算约束力不够，财政收支结构有待优化；财政结转结余资金规模较大，预算资金使用绩效不高；预算透明度不够，财经纪律有待加强等，财政可持续发展面临严峻挑战。</w:t>
      </w:r>
      <w:r w:rsidRPr="000E7D5C">
        <w:rPr>
          <w:rFonts w:ascii="微软雅黑" w:eastAsia="微软雅黑" w:hAnsi="微软雅黑" w:cs="宋体" w:hint="eastAsia"/>
          <w:color w:val="333333"/>
          <w:kern w:val="0"/>
          <w:sz w:val="27"/>
          <w:szCs w:val="27"/>
        </w:rPr>
        <w:br/>
        <w:t xml:space="preserve">　　党的十八届三中全会确立了全面深化改革的总目标，并对改进预算管理制度提出了明确要求，今年《政府工作报告》也作出了部署。贯彻</w:t>
      </w:r>
      <w:r w:rsidRPr="000E7D5C">
        <w:rPr>
          <w:rFonts w:ascii="微软雅黑" w:eastAsia="微软雅黑" w:hAnsi="微软雅黑" w:cs="宋体" w:hint="eastAsia"/>
          <w:color w:val="333333"/>
          <w:kern w:val="0"/>
          <w:sz w:val="27"/>
          <w:szCs w:val="27"/>
        </w:rPr>
        <w:lastRenderedPageBreak/>
        <w:t>落实党的十八届三中全会精神和国务院决策部署，深化预算管理制度改革，实施全面规范、公开透明的预算制度，是深化财税体制改革，建立现代公共财政制度的迫切需要；是完善社会主义市场经济体制，加快转变政府职能的必然要求；是推进国家治理体系现代化，实现国家长治久安的重要保障。</w:t>
      </w:r>
      <w:r w:rsidRPr="000E7D5C">
        <w:rPr>
          <w:rFonts w:ascii="微软雅黑" w:eastAsia="微软雅黑" w:hAnsi="微软雅黑" w:cs="宋体" w:hint="eastAsia"/>
          <w:color w:val="333333"/>
          <w:kern w:val="0"/>
          <w:sz w:val="27"/>
          <w:szCs w:val="27"/>
        </w:rPr>
        <w:br/>
        <w:t xml:space="preserve">　　二、准确把握深化预算管理制度改革的总体方向</w:t>
      </w:r>
      <w:r w:rsidRPr="000E7D5C">
        <w:rPr>
          <w:rFonts w:ascii="微软雅黑" w:eastAsia="微软雅黑" w:hAnsi="微软雅黑" w:cs="宋体" w:hint="eastAsia"/>
          <w:color w:val="333333"/>
          <w:kern w:val="0"/>
          <w:sz w:val="27"/>
          <w:szCs w:val="27"/>
        </w:rPr>
        <w:br/>
        <w:t xml:space="preserve">　　（一）指导思想。</w:t>
      </w:r>
      <w:r w:rsidRPr="000E7D5C">
        <w:rPr>
          <w:rFonts w:ascii="微软雅黑" w:eastAsia="微软雅黑" w:hAnsi="微软雅黑" w:cs="宋体" w:hint="eastAsia"/>
          <w:color w:val="333333"/>
          <w:kern w:val="0"/>
          <w:sz w:val="27"/>
          <w:szCs w:val="27"/>
        </w:rPr>
        <w:br/>
        <w:t xml:space="preserve">　　深化预算管理制度改革，要以邓小平理论、“三个代表”重要思想、科学发展观为指导，全面贯彻党的十八大和十八届三中全会精神，落实党中央、国务院决策部署，按照全面深化财税体制改革的总体要求，遵循社会主义市场经济原则，加快转变政府职能，完善管理制度，创新管理方式，提高管理绩效，用好增量资金，构建全面规范、公开透明的预算制度，进一步规范政府行为，防范财政风险，实现有效监督，提高资金效益，逐步建立与实现现代化相适应的现代财政制度。</w:t>
      </w:r>
      <w:r w:rsidRPr="000E7D5C">
        <w:rPr>
          <w:rFonts w:ascii="微软雅黑" w:eastAsia="微软雅黑" w:hAnsi="微软雅黑" w:cs="宋体" w:hint="eastAsia"/>
          <w:color w:val="333333"/>
          <w:kern w:val="0"/>
          <w:sz w:val="27"/>
          <w:szCs w:val="27"/>
        </w:rPr>
        <w:br/>
        <w:t xml:space="preserve">　　（二）基本原则。</w:t>
      </w:r>
      <w:r w:rsidRPr="000E7D5C">
        <w:rPr>
          <w:rFonts w:ascii="微软雅黑" w:eastAsia="微软雅黑" w:hAnsi="微软雅黑" w:cs="宋体" w:hint="eastAsia"/>
          <w:color w:val="333333"/>
          <w:kern w:val="0"/>
          <w:sz w:val="27"/>
          <w:szCs w:val="27"/>
        </w:rPr>
        <w:br/>
        <w:t xml:space="preserve">　　遵循现代国家治理理念。按照推进国家治理体系和治理能力现代化的要求，着力构建规范的现代预算制度，并与相关法律和制度的修订完善相衔接。健全财政法律制度体系，注重运用法律和制度规范预算管理，提高政府公共服务水平。</w:t>
      </w:r>
      <w:r w:rsidRPr="000E7D5C">
        <w:rPr>
          <w:rFonts w:ascii="微软雅黑" w:eastAsia="微软雅黑" w:hAnsi="微软雅黑" w:cs="宋体" w:hint="eastAsia"/>
          <w:color w:val="333333"/>
          <w:kern w:val="0"/>
          <w:sz w:val="27"/>
          <w:szCs w:val="27"/>
        </w:rPr>
        <w:br/>
        <w:t xml:space="preserve">　　划清市场和政府的边界。凡属市场能发挥作用的，财税等优惠政策要逐步退出；凡属市场不能有效发挥作用的，政府包括公共财政等要主动补位。</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着力推进预算公开透明。实施全面规范、公开透明的预算制度，将公开透明贯穿预算改革和管理全过程，充分发挥预算公开透明对政府部门的监督和约束作用，建设阳光政府、责任政府、服务政府。</w:t>
      </w:r>
      <w:r w:rsidRPr="000E7D5C">
        <w:rPr>
          <w:rFonts w:ascii="微软雅黑" w:eastAsia="微软雅黑" w:hAnsi="微软雅黑" w:cs="宋体" w:hint="eastAsia"/>
          <w:color w:val="333333"/>
          <w:kern w:val="0"/>
          <w:sz w:val="27"/>
          <w:szCs w:val="27"/>
        </w:rPr>
        <w:br/>
        <w:t xml:space="preserve">　　坚持总体设计、协同推进。既要注重顶层设计，增强改革的系统性、整体性、协同性，又要考虑外部环境和制约因素，实现与行政管理体制改革的有序衔接，合理把握改革的力度和节奏，确保改革顺利实施。</w:t>
      </w:r>
      <w:r w:rsidRPr="000E7D5C">
        <w:rPr>
          <w:rFonts w:ascii="微软雅黑" w:eastAsia="微软雅黑" w:hAnsi="微软雅黑" w:cs="宋体" w:hint="eastAsia"/>
          <w:color w:val="333333"/>
          <w:kern w:val="0"/>
          <w:sz w:val="27"/>
          <w:szCs w:val="27"/>
        </w:rPr>
        <w:br/>
        <w:t xml:space="preserve">　　三、全面推进深化预算管理制度改革的各项工作</w:t>
      </w:r>
      <w:r w:rsidRPr="000E7D5C">
        <w:rPr>
          <w:rFonts w:ascii="微软雅黑" w:eastAsia="微软雅黑" w:hAnsi="微软雅黑" w:cs="宋体" w:hint="eastAsia"/>
          <w:color w:val="333333"/>
          <w:kern w:val="0"/>
          <w:sz w:val="27"/>
          <w:szCs w:val="27"/>
        </w:rPr>
        <w:br/>
        <w:t xml:space="preserve">　　（一）完善政府预算体系，积极推进预算公开。</w:t>
      </w:r>
      <w:r w:rsidRPr="000E7D5C">
        <w:rPr>
          <w:rFonts w:ascii="微软雅黑" w:eastAsia="微软雅黑" w:hAnsi="微软雅黑" w:cs="宋体" w:hint="eastAsia"/>
          <w:color w:val="333333"/>
          <w:kern w:val="0"/>
          <w:sz w:val="27"/>
          <w:szCs w:val="27"/>
        </w:rPr>
        <w:br/>
        <w:t xml:space="preserve">　　1.完善政府预算体系。明确一般公共预算、政府性基金预算、国有资本经营预算、社会保险基金预算的收支范围，建立定位清晰、分工明确的政府预算体系，政府的收入和支出全部纳入预算管理。加大政府性基金预算、国有资本经营预算与一般公共预算的统筹力度，建立将政府性基金预算中应统筹使用的资金列入一般公共预算的机制，加大国有资本经营预算资金调入一般公共预算的力度。加强社会保险基金预算管理，做好基金结余的保值增值，在精算平衡的基础上实现社会保险基金预算的可持续运行。</w:t>
      </w:r>
      <w:r w:rsidRPr="000E7D5C">
        <w:rPr>
          <w:rFonts w:ascii="微软雅黑" w:eastAsia="微软雅黑" w:hAnsi="微软雅黑" w:cs="宋体" w:hint="eastAsia"/>
          <w:color w:val="333333"/>
          <w:kern w:val="0"/>
          <w:sz w:val="27"/>
          <w:szCs w:val="27"/>
        </w:rPr>
        <w:br/>
        <w:t xml:space="preserve">　　2.健全预算标准体系。进一步完善基本支出定额标准体系，加快推进项目支出定额标准体系建设，充分发挥支出标准在预算编制和管理中的基础支撑作用。严格机关运行经费管理，加快制定机关运行经费实物定额和服务标准。加强人员编制管理和资产管理，完善人员编制、资产管理与预算管理相结合的机制。进一步完善政府收支分类体系，按经济分类编制部门预决算和政府预决算。</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3.积极推进预决算公开。细化政府预决算公开内容，除涉密信息外，政府预决算支出全部细化公开到功能分类的项级科目，专项转移支付预决算按项目按地区公开。积极推进财政政策公开。扩大部门预决算公开范围，除涉密信息外，中央和地方所有使用财政资金的部门均应公开本部门预决算。细化部门预决算公开内容，逐步将部门预决算公开到基本支出和项目支出。按经济分类公开政府预决算和部门预决算。加大“三公”经费公开力度，细化公开内容，除涉密信息外，所有财政资金安排的“三公”经费都要公开。对预决算公开过程中社会关切的问题，要规范整改、完善制度。</w:t>
      </w:r>
      <w:r w:rsidRPr="000E7D5C">
        <w:rPr>
          <w:rFonts w:ascii="微软雅黑" w:eastAsia="微软雅黑" w:hAnsi="微软雅黑" w:cs="宋体" w:hint="eastAsia"/>
          <w:color w:val="333333"/>
          <w:kern w:val="0"/>
          <w:sz w:val="27"/>
          <w:szCs w:val="27"/>
        </w:rPr>
        <w:br/>
        <w:t xml:space="preserve">　　（二）改进预算管理和控制，建立跨年度预算平衡机制。</w:t>
      </w:r>
      <w:r w:rsidRPr="000E7D5C">
        <w:rPr>
          <w:rFonts w:ascii="微软雅黑" w:eastAsia="微软雅黑" w:hAnsi="微软雅黑" w:cs="宋体" w:hint="eastAsia"/>
          <w:color w:val="333333"/>
          <w:kern w:val="0"/>
          <w:sz w:val="27"/>
          <w:szCs w:val="27"/>
        </w:rPr>
        <w:br/>
        <w:t xml:space="preserve">　　1.实行中期财政规划管理。财政部门会同各部门研究编制三年滚动财政规划，对未来三年重大财政收支情况进行分析预测，对规划期内一些重大改革、重要政策和重大项目，研究政策目标、运行机制和评价办法。中期财政规划要与国民经济和社会发展规划纲要及国家宏观调控政策相衔接。强化三年滚动财政规划对年度预算的约束。推进部门编制三年滚动规划，加强项目库管理，健全项目预算审核机制。提高财政预算的统筹能力，各部门规划中涉及财政政策和资金支持的，要与三年滚动财政规划相衔接。</w:t>
      </w:r>
      <w:r w:rsidRPr="000E7D5C">
        <w:rPr>
          <w:rFonts w:ascii="微软雅黑" w:eastAsia="微软雅黑" w:hAnsi="微软雅黑" w:cs="宋体" w:hint="eastAsia"/>
          <w:color w:val="333333"/>
          <w:kern w:val="0"/>
          <w:sz w:val="27"/>
          <w:szCs w:val="27"/>
        </w:rPr>
        <w:br/>
        <w:t xml:space="preserve">　　2.改进年度预算控制方式。一般公共预算审核的重点由平衡状态、赤字规模向支出预算和政策拓展。强化支出预算约束，各级政府向本级人大报告支出预算的同时，要重点报告支出政策内容。预算执行中如需增加或减少预算总支出，必须报经本级人大常委会审查批准。收入预算</w:t>
      </w:r>
      <w:r w:rsidRPr="000E7D5C">
        <w:rPr>
          <w:rFonts w:ascii="微软雅黑" w:eastAsia="微软雅黑" w:hAnsi="微软雅黑" w:cs="宋体" w:hint="eastAsia"/>
          <w:color w:val="333333"/>
          <w:kern w:val="0"/>
          <w:sz w:val="27"/>
          <w:szCs w:val="27"/>
        </w:rPr>
        <w:lastRenderedPageBreak/>
        <w:t>从约束性转向预期性，根据经济形势和政策调整等因素科学预测。中央一般公共预算因宏观调控政策需要可编列赤字，通过发行国债予以弥补。中央政府债务实行余额管理，中央国债余额限额根据累计赤字和应对当年短收需发行的债务等因素合理确定，报全国人大或其常委会审批。经国务院批准，地方一般公共预算为没有收益的公益性事业发展可编列赤字，通过举借一般债务予以弥补，地方政府一般债务规模纳入限额管理，由国务院确定并报全国人大或其常委会批准。加强政府性基金预算编制管理。政府性基金预算按照以收定支的原则，根据政府性基金项目的收入情况和实际支出需要编制；经国务院批准，地方政府性基金预算为有一定收益的公益性事业发展可举借专项债务，地方政府专项债务规模纳入限额管理，由国务院确定并报全国人大或其常委会批准。财政部在全国人大或其常委会批准的地方政府债务规模内，根据各地区债务风险、财力状况等因素测算分地区债务限额，并报国务院批准。各省、自治区、直辖市在分地区债务限额内举借债务，报省级人大或其常委会批准。国有资本经营预算按照收支平衡的原则编制，不列赤字。</w:t>
      </w:r>
      <w:r w:rsidRPr="000E7D5C">
        <w:rPr>
          <w:rFonts w:ascii="微软雅黑" w:eastAsia="微软雅黑" w:hAnsi="微软雅黑" w:cs="宋体" w:hint="eastAsia"/>
          <w:color w:val="333333"/>
          <w:kern w:val="0"/>
          <w:sz w:val="27"/>
          <w:szCs w:val="27"/>
        </w:rPr>
        <w:br/>
        <w:t xml:space="preserve">　　3.建立跨年度预算平衡机制。根据经济形势发展变化和财政政策逆周期调节的需要，建立跨年度预算平衡机制。中央一般公共预算执行中如出现超收，超收收入用于冲减赤字、补充预算稳定调节基金；如出现短收，通过调入预算稳定调节基金、削减支出或增列赤字并在经全国人大或其常委会批准的国债余额限额内发债平衡。地方一般公共预算执行中如出现超收，用于化解政府债务或补充预算稳定调节基金；如出现短收，通过调入预算稳定调节基金或其他预算资金、削减支出实现平衡。</w:t>
      </w:r>
      <w:r w:rsidRPr="000E7D5C">
        <w:rPr>
          <w:rFonts w:ascii="微软雅黑" w:eastAsia="微软雅黑" w:hAnsi="微软雅黑" w:cs="宋体" w:hint="eastAsia"/>
          <w:color w:val="333333"/>
          <w:kern w:val="0"/>
          <w:sz w:val="27"/>
          <w:szCs w:val="27"/>
        </w:rPr>
        <w:lastRenderedPageBreak/>
        <w:t>如采取上述措施后仍不能实现平衡，省级政府报本级人大或其常委会批准后增列赤字，并报财政部备案，在下一年度预算中予以弥补；市、县级政府通过申请上级政府临时救助实现平衡，并在下一年度预算中归还。政府性基金预算和国有资本经营预算如出现超收，结转下年安排；如出现短收，通过削减支出实现平衡。</w:t>
      </w:r>
      <w:r w:rsidRPr="000E7D5C">
        <w:rPr>
          <w:rFonts w:ascii="微软雅黑" w:eastAsia="微软雅黑" w:hAnsi="微软雅黑" w:cs="宋体" w:hint="eastAsia"/>
          <w:color w:val="333333"/>
          <w:kern w:val="0"/>
          <w:sz w:val="27"/>
          <w:szCs w:val="27"/>
        </w:rPr>
        <w:br/>
        <w:t xml:space="preserve">　　（三）加强财政收入管理，清理规范税收优惠政策。</w:t>
      </w:r>
      <w:r w:rsidRPr="000E7D5C">
        <w:rPr>
          <w:rFonts w:ascii="微软雅黑" w:eastAsia="微软雅黑" w:hAnsi="微软雅黑" w:cs="宋体" w:hint="eastAsia"/>
          <w:color w:val="333333"/>
          <w:kern w:val="0"/>
          <w:sz w:val="27"/>
          <w:szCs w:val="27"/>
        </w:rPr>
        <w:br/>
        <w:t xml:space="preserve">　　1.加强税收征管。各级税收征管部门要依照法律法规及时足额组织税收收入，并建立与相关经济指标变化情况相衔接的考核体系。切实加强税收征管，做到依法征收、应收尽收，不收过头税。严格减免税管理，不得违反法律法规的规定和超越权限多征、提前征收或者减征、免征、缓征应征税款。加强执法监督，强化税收入库管理。</w:t>
      </w:r>
      <w:r w:rsidRPr="000E7D5C">
        <w:rPr>
          <w:rFonts w:ascii="微软雅黑" w:eastAsia="微软雅黑" w:hAnsi="微软雅黑" w:cs="宋体" w:hint="eastAsia"/>
          <w:color w:val="333333"/>
          <w:kern w:val="0"/>
          <w:sz w:val="27"/>
          <w:szCs w:val="27"/>
        </w:rPr>
        <w:br/>
        <w:t xml:space="preserve">　　2.加强非税收入管理。各地区、各部门要依照法律法规切实加强非税收入管理。继续清理规范行政事业性收费和政府性基金，坚决取消不合法、不合理的收费基金项目。加快建立健全国有资源、国有资产有偿使用制度和收益共享机制。加强国有资本收益管理，完善国家以所有者身份参与国有企业利润分配制度，落实国有资本收益权。加强非税收入分类预算管理，完善非税收入征缴制度和监督体系，禁止通过违规调库、乱收费、乱罚款等手段虚增财政收入。</w:t>
      </w:r>
      <w:r w:rsidRPr="000E7D5C">
        <w:rPr>
          <w:rFonts w:ascii="微软雅黑" w:eastAsia="微软雅黑" w:hAnsi="微软雅黑" w:cs="宋体" w:hint="eastAsia"/>
          <w:color w:val="333333"/>
          <w:kern w:val="0"/>
          <w:sz w:val="27"/>
          <w:szCs w:val="27"/>
        </w:rPr>
        <w:br/>
        <w:t xml:space="preserve">　　3.全面规范税收优惠政策。除专门的税收法律、法规和国务院规定外，各部门起草其他法律、法规、发展规划和区域政策都不得突破国家统一财税制度、规定税收优惠政策。未经国务院批准，各地区、各部门不能对企业规定财政优惠政策。各地区、各部门要对已经出台的税收优</w:t>
      </w:r>
      <w:r w:rsidRPr="000E7D5C">
        <w:rPr>
          <w:rFonts w:ascii="微软雅黑" w:eastAsia="微软雅黑" w:hAnsi="微软雅黑" w:cs="宋体" w:hint="eastAsia"/>
          <w:color w:val="333333"/>
          <w:kern w:val="0"/>
          <w:sz w:val="27"/>
          <w:szCs w:val="27"/>
        </w:rPr>
        <w:lastRenderedPageBreak/>
        <w:t>惠政策进行规范，违反法律法规和国务院规定的一律停止执行；没有法律法规障碍且具有推广价值的，尽快在全国范围内实施；有明确时限的到期停止执行，未明确时限的应设定优惠政策实施时限。建立税收优惠政策备案审查、定期评估和退出机制，加强考核问责，严惩各类违法违规行为。</w:t>
      </w:r>
      <w:r w:rsidRPr="000E7D5C">
        <w:rPr>
          <w:rFonts w:ascii="微软雅黑" w:eastAsia="微软雅黑" w:hAnsi="微软雅黑" w:cs="宋体" w:hint="eastAsia"/>
          <w:color w:val="333333"/>
          <w:kern w:val="0"/>
          <w:sz w:val="27"/>
          <w:szCs w:val="27"/>
        </w:rPr>
        <w:br/>
        <w:t xml:space="preserve">　　（四）优化财政支出结构，加强结转结余资金管理。</w:t>
      </w:r>
      <w:r w:rsidRPr="000E7D5C">
        <w:rPr>
          <w:rFonts w:ascii="微软雅黑" w:eastAsia="微软雅黑" w:hAnsi="微软雅黑" w:cs="宋体" w:hint="eastAsia"/>
          <w:color w:val="333333"/>
          <w:kern w:val="0"/>
          <w:sz w:val="27"/>
          <w:szCs w:val="27"/>
        </w:rPr>
        <w:br/>
        <w:t xml:space="preserve">　　1.优化财政支出结构。严格控制政府性楼堂馆所、财政供养人员以及“三公”经费等一般性支出。清理规范重点支出同财政收支增幅或生产总值挂钩事项，一般不采取挂钩方式。对重点支出根据推进改革的需要和确需保障的内容统筹安排，优先保障，不再采取先确定支出总额再安排具体项目的办法。结合税费制度改革，完善相关法律法规，逐步取消城市维护建设税、排污费、探矿权和采矿权价款、矿产资源补偿费等专款专用的规定，统筹安排这些领域的经费。统一预算分配，逐步将所有预算资金纳入财政部门统一分配。在此之前，负责资金分配的部门要按规定将资金具体安排情况及时报财政部门。</w:t>
      </w:r>
      <w:r w:rsidRPr="000E7D5C">
        <w:rPr>
          <w:rFonts w:ascii="微软雅黑" w:eastAsia="微软雅黑" w:hAnsi="微软雅黑" w:cs="宋体" w:hint="eastAsia"/>
          <w:color w:val="333333"/>
          <w:kern w:val="0"/>
          <w:sz w:val="27"/>
          <w:szCs w:val="27"/>
        </w:rPr>
        <w:br/>
        <w:t xml:space="preserve">　　2.优化转移支付结构。完善一般性转移支付增长机制，增加一般性转移支付规模和比例，逐步将一般性转移支付占比提高到60%以上；明显增加对革命老区、民族地区、边疆地区和贫困地区的转移支付；中央出台增支政策形成的地方财力缺口，原则上通过一般性转移支付调节。要大力清理、整合、规范专项转移支付，在合理界定中央与地方事权的基础上，严格控制引导类、救济类、应急类专项转移支付，属地方事务的划入一般性转移支付。对竞争性领域的专项转移支付逐一进行甄别排</w:t>
      </w:r>
      <w:r w:rsidRPr="000E7D5C">
        <w:rPr>
          <w:rFonts w:ascii="微软雅黑" w:eastAsia="微软雅黑" w:hAnsi="微软雅黑" w:cs="宋体" w:hint="eastAsia"/>
          <w:color w:val="333333"/>
          <w:kern w:val="0"/>
          <w:sz w:val="27"/>
          <w:szCs w:val="27"/>
        </w:rPr>
        <w:lastRenderedPageBreak/>
        <w:t>查，凡属“小、散、乱”以及效用不明显的要坚决取消，其余需要保留的也要予以压缩或实行零增长，并改进分配方式，减少行政性分配，引入市场化运作模式，逐步与金融资本相结合，引导带动社会资本增加投入。对目标接近、资金投入方向类同、资金管理方式相近的专项转移支付予以整合。规范专项转移支付项目设立，严格控制新增项目和资金规模，建立健全专项转移支付定期评估和退出机制。加快修订完善中央对地方转移支付管理办法，对转移支付项目的设立、资金分配、使用管理、绩效评价、信息公开等作出规定。研究建立财政转移支付同农业转移人口市民化挂钩机制。在明确中央和地方支出责任的基础上，认真清理现行配套政策，对属于中央承担支出责任的事项，一律不得要求地方安排配套资金；对属于中央和地方分担支出责任的事项，由中央和地方按各自应分担数额安排资金。各地区要对本级安排的专项资金进行清理、整合、规范，完善资金管理办法，提高资金使用效益。</w:t>
      </w:r>
      <w:r w:rsidRPr="000E7D5C">
        <w:rPr>
          <w:rFonts w:ascii="微软雅黑" w:eastAsia="微软雅黑" w:hAnsi="微软雅黑" w:cs="宋体" w:hint="eastAsia"/>
          <w:color w:val="333333"/>
          <w:kern w:val="0"/>
          <w:sz w:val="27"/>
          <w:szCs w:val="27"/>
        </w:rPr>
        <w:br/>
        <w:t xml:space="preserve">　　3.加强结转结余资金管理。建立结转结余资金定期清理机制，各级政府上一年预算的结转资金，应当在下一年用于结转项目的支出；连续两年未用完的结转资金，应当作为结余资金管理，其中一般公共预算的结余资金，应当补充预算稳定调节基金。各部门、各单位上一年预算的结转、结余资金按照财政部的规定办理。要加大结转资金统筹使用力度，对不需按原用途使用的资金，可按规定统筹用于经济社会发展亟需资金支持的领域。建立预算编制与结转结余资金管理相结合的机制，细化预算编制，提高年初预算到位率。建立科学合理的预算执行进度考核机制，实施预算执行进度的通报制度和监督检查制度，有效控制新增结转结余</w:t>
      </w:r>
      <w:r w:rsidRPr="000E7D5C">
        <w:rPr>
          <w:rFonts w:ascii="微软雅黑" w:eastAsia="微软雅黑" w:hAnsi="微软雅黑" w:cs="宋体" w:hint="eastAsia"/>
          <w:color w:val="333333"/>
          <w:kern w:val="0"/>
          <w:sz w:val="27"/>
          <w:szCs w:val="27"/>
        </w:rPr>
        <w:lastRenderedPageBreak/>
        <w:t>资金。</w:t>
      </w:r>
      <w:r w:rsidRPr="000E7D5C">
        <w:rPr>
          <w:rFonts w:ascii="微软雅黑" w:eastAsia="微软雅黑" w:hAnsi="微软雅黑" w:cs="宋体" w:hint="eastAsia"/>
          <w:color w:val="333333"/>
          <w:kern w:val="0"/>
          <w:sz w:val="27"/>
          <w:szCs w:val="27"/>
        </w:rPr>
        <w:br/>
        <w:t xml:space="preserve">　　4.加强政府购买服务资金管理。政府购买服务所需资金列入财政预算，从部门预算经费或者经批准的专项资金等既有预算中统筹安排，支持各部门按有关规定开展政府购买服务工作，切实降低公共服务成本，提高公共服务质量。</w:t>
      </w:r>
      <w:r w:rsidRPr="000E7D5C">
        <w:rPr>
          <w:rFonts w:ascii="微软雅黑" w:eastAsia="微软雅黑" w:hAnsi="微软雅黑" w:cs="宋体" w:hint="eastAsia"/>
          <w:color w:val="333333"/>
          <w:kern w:val="0"/>
          <w:sz w:val="27"/>
          <w:szCs w:val="27"/>
        </w:rPr>
        <w:br/>
        <w:t xml:space="preserve">　　（五）加强预算执行管理，提高财政支出绩效。</w:t>
      </w:r>
      <w:r w:rsidRPr="000E7D5C">
        <w:rPr>
          <w:rFonts w:ascii="微软雅黑" w:eastAsia="微软雅黑" w:hAnsi="微软雅黑" w:cs="宋体" w:hint="eastAsia"/>
          <w:color w:val="333333"/>
          <w:kern w:val="0"/>
          <w:sz w:val="27"/>
          <w:szCs w:val="27"/>
        </w:rPr>
        <w:br/>
        <w:t xml:space="preserve">　　1.做好预算执行工作。硬化预算约束，年度预算执行中除救灾等应急支出通过动支预备费解决外，一般不出台增加当年支出的政策，一些必须出台的政策，通过以后年度预算安排资金。及时批复部门预算，严格按照预算、用款计划、项目进度、有关合同和规定程序及时办理资金支付，涉及政府采购的应严格执行政府采购有关规定。进一步提高提前下达转移支付预计数的比例，按因素法分配且金额相对固定的转移支付提前下达的比例要达到90%。加快转移支付预算正式下达进度，除据实结算等特殊项目外，中央对地方一般性转移支付在全国人大批准预算后30日内正式下达，专项转移支付在90日内正式下达。省级政府接到中央一般性转移支付或专项转移支付后，应在30日内正式下达到县级以上地方各级政府。规范预算变更，各部门、各单位的预算支出应当按照预算科目执行。不同预算科目、预算级次或者项目间的预算资金需要调剂使用的，按照财政部的规定办理。</w:t>
      </w:r>
      <w:r w:rsidRPr="000E7D5C">
        <w:rPr>
          <w:rFonts w:ascii="微软雅黑" w:eastAsia="微软雅黑" w:hAnsi="微软雅黑" w:cs="宋体" w:hint="eastAsia"/>
          <w:color w:val="333333"/>
          <w:kern w:val="0"/>
          <w:sz w:val="27"/>
          <w:szCs w:val="27"/>
        </w:rPr>
        <w:br/>
        <w:t xml:space="preserve">　　2.规范国库资金管理。规范国库资金管理，提高国库资金收支运行效率。全面清理整顿财政专户，各地一律不得新设专项支出财政专户，除财政部审核并报国务院批准予以保留的专户外，其余专户在2年内逐</w:t>
      </w:r>
      <w:r w:rsidRPr="000E7D5C">
        <w:rPr>
          <w:rFonts w:ascii="微软雅黑" w:eastAsia="微软雅黑" w:hAnsi="微软雅黑" w:cs="宋体" w:hint="eastAsia"/>
          <w:color w:val="333333"/>
          <w:kern w:val="0"/>
          <w:sz w:val="27"/>
          <w:szCs w:val="27"/>
        </w:rPr>
        <w:lastRenderedPageBreak/>
        <w:t>步取消。规范权责发生制核算，严格权责发生制核算范围，控制核算规模。地方各级财政除国库集中支付年终结余外，一律不得按权责发生制列支。按国务院规定实行权责发生制核算的特定事项，应当向本级人大常委会报告。全面清理已经发生的财政借垫款，应当由预算安排支出的按规定列支，符合制度规定的临时性借垫款及时收回，不符合制度规定的借垫款限期收回。加强财政对外借款管理，各级财政严禁违规对非预算单位及未纳入年度预算的项目借款和垫付财政资金。各级政府应当加强对本级国库的管理和监督，按照国务院的规定完善国库现金管理，合理调节国库资金余额。</w:t>
      </w:r>
      <w:r w:rsidRPr="000E7D5C">
        <w:rPr>
          <w:rFonts w:ascii="微软雅黑" w:eastAsia="微软雅黑" w:hAnsi="微软雅黑" w:cs="宋体" w:hint="eastAsia"/>
          <w:color w:val="333333"/>
          <w:kern w:val="0"/>
          <w:sz w:val="27"/>
          <w:szCs w:val="27"/>
        </w:rPr>
        <w:br/>
        <w:t xml:space="preserve">　　3.健全预算绩效管理机制。全面推进预算绩效管理工作，强化支出责任和效率意识，逐步将绩效管理范围覆盖各级预算单位和所有财政资金，将绩效评价重点由项目支出拓展到部门整体支出和政策、制度、管理等方面，加强绩效评价结果应用，将评价结果作为调整支出结构、完善财政政策和科学安排预算的重要依据。</w:t>
      </w:r>
      <w:r w:rsidRPr="000E7D5C">
        <w:rPr>
          <w:rFonts w:ascii="微软雅黑" w:eastAsia="微软雅黑" w:hAnsi="微软雅黑" w:cs="宋体" w:hint="eastAsia"/>
          <w:color w:val="333333"/>
          <w:kern w:val="0"/>
          <w:sz w:val="27"/>
          <w:szCs w:val="27"/>
        </w:rPr>
        <w:br/>
        <w:t xml:space="preserve">　　4.建立权责发生制的政府综合财务报告制度。研究制定政府综合财务报告制度改革方案、制度规范和操作指南，建立政府综合财务报告和政府会计标准体系，研究修订总预算会计制度。待条件成熟时，政府综合财务报告向本级人大或其常委会报告。研究将政府综合财务报告主要指标作为考核地方政府绩效的依据，逐步建立政府综合财务报告公开机制。</w:t>
      </w:r>
      <w:r w:rsidRPr="000E7D5C">
        <w:rPr>
          <w:rFonts w:ascii="微软雅黑" w:eastAsia="微软雅黑" w:hAnsi="微软雅黑" w:cs="宋体" w:hint="eastAsia"/>
          <w:color w:val="333333"/>
          <w:kern w:val="0"/>
          <w:sz w:val="27"/>
          <w:szCs w:val="27"/>
        </w:rPr>
        <w:br/>
        <w:t xml:space="preserve">　　（六）规范地方政府债务管理，防范化解财政风险。</w:t>
      </w:r>
      <w:r w:rsidRPr="000E7D5C">
        <w:rPr>
          <w:rFonts w:ascii="微软雅黑" w:eastAsia="微软雅黑" w:hAnsi="微软雅黑" w:cs="宋体" w:hint="eastAsia"/>
          <w:color w:val="333333"/>
          <w:kern w:val="0"/>
          <w:sz w:val="27"/>
          <w:szCs w:val="27"/>
        </w:rPr>
        <w:br/>
        <w:t xml:space="preserve">　　1.赋予地方政府依法适度举债权限，建立规范的地方政府举债融资</w:t>
      </w:r>
      <w:r w:rsidRPr="000E7D5C">
        <w:rPr>
          <w:rFonts w:ascii="微软雅黑" w:eastAsia="微软雅黑" w:hAnsi="微软雅黑" w:cs="宋体" w:hint="eastAsia"/>
          <w:color w:val="333333"/>
          <w:kern w:val="0"/>
          <w:sz w:val="27"/>
          <w:szCs w:val="27"/>
        </w:rPr>
        <w:lastRenderedPageBreak/>
        <w:t>机制。经国务院批准，省、自治区、直辖市政府可以适度举借债务；市县级政府确需举借债务的由省、自治区、直辖市政府代为举借。政府债务只能通过政府及其部门举借，不得通过企事业单位等举借。地方政府举债采取政府债券方式。剥离融资平台公司政府融资职能。推广使用政府与社会资本合作模式，鼓励社会资本通过特许经营等方式参与城市基础设施等有一定收益的公益性事业投资和运营。</w:t>
      </w:r>
      <w:r w:rsidRPr="000E7D5C">
        <w:rPr>
          <w:rFonts w:ascii="微软雅黑" w:eastAsia="微软雅黑" w:hAnsi="微软雅黑" w:cs="宋体" w:hint="eastAsia"/>
          <w:color w:val="333333"/>
          <w:kern w:val="0"/>
          <w:sz w:val="27"/>
          <w:szCs w:val="27"/>
        </w:rPr>
        <w:br/>
        <w:t xml:space="preserve">　　2.对地方政府债务实行规模控制和分类管理。地方政府债务规模实行限额管理，地方政府举债不得突破批准的限额。地方政府债务分为一般债务、专项债务两类，分类纳入预算管理。一般债务通过发行一般债券融资，纳入一般公共预算管理。专项债务通过发行专项债券融资，纳入政府性基金预算管理。</w:t>
      </w:r>
      <w:r w:rsidRPr="000E7D5C">
        <w:rPr>
          <w:rFonts w:ascii="微软雅黑" w:eastAsia="微软雅黑" w:hAnsi="微软雅黑" w:cs="宋体" w:hint="eastAsia"/>
          <w:color w:val="333333"/>
          <w:kern w:val="0"/>
          <w:sz w:val="27"/>
          <w:szCs w:val="27"/>
        </w:rPr>
        <w:br/>
        <w:t xml:space="preserve">　　3.严格限定政府举债程序和资金用途。地方政府在国务院批准的分地区限额内举借债务，必须报本级人大或其常委会批准。地方政府举借债务要遵循市场化原则。建立地方政府信用评级制度，逐步完善地方政府债券市场。地方政府举借的债务，只能用于公益性资本支出和适度归还存量债务，不得用于经常性支出。</w:t>
      </w:r>
      <w:r w:rsidRPr="000E7D5C">
        <w:rPr>
          <w:rFonts w:ascii="微软雅黑" w:eastAsia="微软雅黑" w:hAnsi="微软雅黑" w:cs="宋体" w:hint="eastAsia"/>
          <w:color w:val="333333"/>
          <w:kern w:val="0"/>
          <w:sz w:val="27"/>
          <w:szCs w:val="27"/>
        </w:rPr>
        <w:br/>
        <w:t xml:space="preserve">　　4.建立债务风险预警及化解机制。财政部根据债务率、新增债务率、偿债率、逾期债务率等指标，评估各地区债务风险状况，对债务高风险地区进行风险预警。债务高风险地区要积极采取措施，逐步降低风险。对甄别后纳入预算管理的地方政府存量债务，各地区可申请发行地方政府债券置换，以降低利息负担，优化期限结构。要硬化预算约束，防范道德风险，地方政府对其举借的债务负有偿还责任，中央政府实行不救</w:t>
      </w:r>
      <w:r w:rsidRPr="000E7D5C">
        <w:rPr>
          <w:rFonts w:ascii="微软雅黑" w:eastAsia="微软雅黑" w:hAnsi="微软雅黑" w:cs="宋体" w:hint="eastAsia"/>
          <w:color w:val="333333"/>
          <w:kern w:val="0"/>
          <w:sz w:val="27"/>
          <w:szCs w:val="27"/>
        </w:rPr>
        <w:lastRenderedPageBreak/>
        <w:t>助原则。</w:t>
      </w:r>
      <w:r w:rsidRPr="000E7D5C">
        <w:rPr>
          <w:rFonts w:ascii="微软雅黑" w:eastAsia="微软雅黑" w:hAnsi="微软雅黑" w:cs="宋体" w:hint="eastAsia"/>
          <w:color w:val="333333"/>
          <w:kern w:val="0"/>
          <w:sz w:val="27"/>
          <w:szCs w:val="27"/>
        </w:rPr>
        <w:br/>
        <w:t xml:space="preserve">　　5.建立考核问责机制。把政府性债务作为一个硬指标纳入政绩考核。明确责任落实，省、自治区、直辖市政府要对本地区地方政府性债务负责任。地方各级政府要切实担负起加强地方政府性债务管理、防范化解财政金融风险的责任，政府主要负责人要作为第一责任人，认真抓好政策落实。</w:t>
      </w:r>
      <w:r w:rsidRPr="000E7D5C">
        <w:rPr>
          <w:rFonts w:ascii="微软雅黑" w:eastAsia="微软雅黑" w:hAnsi="微软雅黑" w:cs="宋体" w:hint="eastAsia"/>
          <w:color w:val="333333"/>
          <w:kern w:val="0"/>
          <w:sz w:val="27"/>
          <w:szCs w:val="27"/>
        </w:rPr>
        <w:br/>
        <w:t xml:space="preserve">　　（七）规范理财行为，严肃财经纪律。</w:t>
      </w:r>
      <w:r w:rsidRPr="000E7D5C">
        <w:rPr>
          <w:rFonts w:ascii="微软雅黑" w:eastAsia="微软雅黑" w:hAnsi="微软雅黑" w:cs="宋体" w:hint="eastAsia"/>
          <w:color w:val="333333"/>
          <w:kern w:val="0"/>
          <w:sz w:val="27"/>
          <w:szCs w:val="27"/>
        </w:rPr>
        <w:br/>
        <w:t xml:space="preserve">　　1.坚持依法理财，主动接受监督。各地区、各部门要严格遵守预算法、税收征收管理法、会计法、政府采购法等财税法律法规，依法行使行政决策权和财政管理权，自觉接受人大监督和社会各界的监督。建立和完善政府决算审计制度，进一步加强审计监督。推进预算公开，增强政府理财工作的透明度，减少政府自由裁量权，让财政资金在阳光下运行。</w:t>
      </w:r>
      <w:r w:rsidRPr="000E7D5C">
        <w:rPr>
          <w:rFonts w:ascii="微软雅黑" w:eastAsia="微软雅黑" w:hAnsi="微软雅黑" w:cs="宋体" w:hint="eastAsia"/>
          <w:color w:val="333333"/>
          <w:kern w:val="0"/>
          <w:sz w:val="27"/>
          <w:szCs w:val="27"/>
        </w:rPr>
        <w:br/>
        <w:t xml:space="preserve">　　2.健全制度体系，规范理财行为。要健全预算编制、收入征管、资金分配、国库管理、政府采购、财政监督、绩效评价、责任追究等方面的制度建设，扎紧制度的篱笆。要规范理财行为，严格按照规范的程序和要求编报预决算，按规定的用途拨付和使用财政资金，预决算编报都要做到程序合法、数据准确、情况真实、内容完整。</w:t>
      </w:r>
      <w:r w:rsidRPr="000E7D5C">
        <w:rPr>
          <w:rFonts w:ascii="微软雅黑" w:eastAsia="微软雅黑" w:hAnsi="微软雅黑" w:cs="宋体" w:hint="eastAsia"/>
          <w:color w:val="333333"/>
          <w:kern w:val="0"/>
          <w:sz w:val="27"/>
          <w:szCs w:val="27"/>
        </w:rPr>
        <w:br/>
        <w:t xml:space="preserve">　　3.严肃财经纪律，强化责任追究。财经纪律是财经工作中必须遵守的行为准则，也是预算管理制度改革取得成效的重要保障。地方各级政府要对本地区各部门、各单位财经纪律的执行情况进行全面检查，通过单位自查、财政部门和审计机关专项检查，及时发现存在的问题。强化</w:t>
      </w:r>
      <w:r w:rsidRPr="000E7D5C">
        <w:rPr>
          <w:rFonts w:ascii="微软雅黑" w:eastAsia="微软雅黑" w:hAnsi="微软雅黑" w:cs="宋体" w:hint="eastAsia"/>
          <w:color w:val="333333"/>
          <w:kern w:val="0"/>
          <w:sz w:val="27"/>
          <w:szCs w:val="27"/>
        </w:rPr>
        <w:lastRenderedPageBreak/>
        <w:t>责任追究，对检查中发现的虚报、冒领、截留、挪用、滞留财政资金以及违规出台税收优惠政策等涉及违规违纪的行为，要按照预算法等法律法规的规定严肃处理。</w:t>
      </w:r>
      <w:r w:rsidRPr="000E7D5C">
        <w:rPr>
          <w:rFonts w:ascii="微软雅黑" w:eastAsia="微软雅黑" w:hAnsi="微软雅黑" w:cs="宋体" w:hint="eastAsia"/>
          <w:color w:val="333333"/>
          <w:kern w:val="0"/>
          <w:sz w:val="27"/>
          <w:szCs w:val="27"/>
        </w:rPr>
        <w:br/>
        <w:t xml:space="preserve">　　四、切实做好深化预算管理制度改革的实施保障工作</w:t>
      </w:r>
      <w:r w:rsidRPr="000E7D5C">
        <w:rPr>
          <w:rFonts w:ascii="微软雅黑" w:eastAsia="微软雅黑" w:hAnsi="微软雅黑" w:cs="宋体" w:hint="eastAsia"/>
          <w:color w:val="333333"/>
          <w:kern w:val="0"/>
          <w:sz w:val="27"/>
          <w:szCs w:val="27"/>
        </w:rPr>
        <w:br/>
        <w:t xml:space="preserve">　　深化预算管理制度改革涉及制度创新和利益关系调整，任务艰巨，面临许多矛盾和困难。各地区、各部门要从大局出发，进一步提高认识，把思想和行动统一到党中央、国务院的决策部署上来。要以高度的责任感、使命感和改革创新精神，切实履行职责，加强协调配合，认真落实各项改革措施，合力推进预算管理制度改革。要坚持于法有据，积极推进相关法律法规的修改工作，确保在法治轨道上推进预算管理制度改革。本决定有关要求需要与法律规定相衔接的，按法律规定的程序做好衔接。要加强宣传引导，做好政策解读，为深化预算管理制度改革营造良好的社会环境。财政部要抓紧制定深化预算管理制度改革的具体办法，印发各地区、各部门执行。各地区要结合本地实际情况制定具体政策措施和工作方案，切实加强组织领导，确保改革顺利实施。</w:t>
      </w:r>
    </w:p>
    <w:p w:rsidR="000E7D5C" w:rsidRPr="000E7D5C" w:rsidRDefault="000E7D5C" w:rsidP="000E7D5C">
      <w:pPr>
        <w:widowControl/>
        <w:jc w:val="righ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xml:space="preserve">　　　　　　　　　　　　　　　　　　　　　　　　　　　　　　国务院</w:t>
      </w:r>
      <w:r w:rsidRPr="000E7D5C">
        <w:rPr>
          <w:rFonts w:ascii="微软雅黑" w:eastAsia="微软雅黑" w:hAnsi="微软雅黑" w:cs="宋体" w:hint="eastAsia"/>
          <w:color w:val="333333"/>
          <w:kern w:val="0"/>
          <w:sz w:val="27"/>
          <w:szCs w:val="27"/>
        </w:rPr>
        <w:br/>
        <w:t xml:space="preserve">　　　　　　　　　　　　　　　　　　　　　　　　　　　 　2014年9月26日</w:t>
      </w:r>
    </w:p>
    <w:p w:rsidR="000E7D5C" w:rsidRDefault="000E7D5C" w:rsidP="000E7D5C">
      <w:pPr>
        <w:jc w:val="right"/>
      </w:pPr>
    </w:p>
    <w:p w:rsidR="000E7D5C" w:rsidRDefault="000E7D5C" w:rsidP="000E7D5C">
      <w:pPr>
        <w:jc w:val="right"/>
      </w:pPr>
    </w:p>
    <w:p w:rsidR="000E7D5C" w:rsidRDefault="000E7D5C" w:rsidP="000E7D5C">
      <w:pPr>
        <w:jc w:val="right"/>
      </w:pPr>
    </w:p>
    <w:p w:rsidR="000E7D5C" w:rsidRDefault="000E7D5C" w:rsidP="000E7D5C">
      <w:pPr>
        <w:jc w:val="right"/>
      </w:pPr>
    </w:p>
    <w:p w:rsidR="000E7D5C" w:rsidRDefault="000E7D5C" w:rsidP="000E7D5C">
      <w:pPr>
        <w:jc w:val="right"/>
      </w:pPr>
    </w:p>
    <w:p w:rsidR="000E7D5C" w:rsidRDefault="000E7D5C" w:rsidP="000E7D5C">
      <w:pPr>
        <w:jc w:val="right"/>
      </w:pPr>
    </w:p>
    <w:p w:rsidR="000E7D5C" w:rsidRDefault="000E7D5C" w:rsidP="000E7D5C">
      <w:pPr>
        <w:pStyle w:val="3"/>
        <w:jc w:val="center"/>
        <w:rPr>
          <w:sz w:val="30"/>
          <w:szCs w:val="30"/>
          <w:lang w:val="zh-CN"/>
        </w:rPr>
      </w:pPr>
      <w:bookmarkStart w:id="8" w:name="_Toc12864173"/>
      <w:r w:rsidRPr="000E7D5C">
        <w:rPr>
          <w:rFonts w:hint="eastAsia"/>
          <w:sz w:val="30"/>
          <w:szCs w:val="30"/>
          <w:lang w:val="zh-CN"/>
        </w:rPr>
        <w:lastRenderedPageBreak/>
        <w:t>国务院关于加强地方政府性债务管理的意见（国发〔</w:t>
      </w:r>
      <w:r w:rsidRPr="000E7D5C">
        <w:rPr>
          <w:rFonts w:hint="eastAsia"/>
          <w:sz w:val="30"/>
          <w:szCs w:val="30"/>
          <w:lang w:val="zh-CN"/>
        </w:rPr>
        <w:t>2014</w:t>
      </w:r>
      <w:r w:rsidRPr="000E7D5C">
        <w:rPr>
          <w:rFonts w:hint="eastAsia"/>
          <w:sz w:val="30"/>
          <w:szCs w:val="30"/>
          <w:lang w:val="zh-CN"/>
        </w:rPr>
        <w:t>〕</w:t>
      </w:r>
      <w:r w:rsidRPr="000E7D5C">
        <w:rPr>
          <w:rFonts w:hint="eastAsia"/>
          <w:sz w:val="30"/>
          <w:szCs w:val="30"/>
          <w:lang w:val="zh-CN"/>
        </w:rPr>
        <w:t>43</w:t>
      </w:r>
      <w:r w:rsidRPr="000E7D5C">
        <w:rPr>
          <w:rFonts w:hint="eastAsia"/>
          <w:sz w:val="30"/>
          <w:szCs w:val="30"/>
          <w:lang w:val="zh-CN"/>
        </w:rPr>
        <w:t>号）</w:t>
      </w:r>
      <w:bookmarkEnd w:id="8"/>
    </w:p>
    <w:p w:rsidR="000E7D5C" w:rsidRPr="000E7D5C" w:rsidRDefault="000E7D5C" w:rsidP="000E7D5C">
      <w:pPr>
        <w:widowControl/>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各省、自治区、直辖市人民政府，国务院各部委、各直属机构：</w:t>
      </w:r>
      <w:r w:rsidRPr="000E7D5C">
        <w:rPr>
          <w:rFonts w:ascii="微软雅黑" w:eastAsia="微软雅黑" w:hAnsi="微软雅黑" w:cs="宋体" w:hint="eastAsia"/>
          <w:color w:val="333333"/>
          <w:kern w:val="0"/>
          <w:sz w:val="27"/>
          <w:szCs w:val="27"/>
        </w:rPr>
        <w:br/>
        <w:t xml:space="preserve">　　为加强地方政府性债务管理，促进国民经济持续健康发展，根据党的十八大、十八届三中全会精神，现提出以下意见：</w:t>
      </w:r>
      <w:r w:rsidRPr="000E7D5C">
        <w:rPr>
          <w:rFonts w:ascii="微软雅黑" w:eastAsia="微软雅黑" w:hAnsi="微软雅黑" w:cs="宋体" w:hint="eastAsia"/>
          <w:color w:val="333333"/>
          <w:kern w:val="0"/>
          <w:sz w:val="27"/>
          <w:szCs w:val="27"/>
        </w:rPr>
        <w:br/>
        <w:t xml:space="preserve">　　一、总体要求</w:t>
      </w:r>
      <w:r w:rsidRPr="000E7D5C">
        <w:rPr>
          <w:rFonts w:ascii="微软雅黑" w:eastAsia="微软雅黑" w:hAnsi="微软雅黑" w:cs="宋体" w:hint="eastAsia"/>
          <w:color w:val="333333"/>
          <w:kern w:val="0"/>
          <w:sz w:val="27"/>
          <w:szCs w:val="27"/>
        </w:rPr>
        <w:br/>
        <w:t xml:space="preserve">　　（一）指导思想。以邓小平理论、“三个代表”重要思想、科学发展观为指导，全面贯彻落实党的十八大、十八届三中全会精神，按照党中央、国务院决策部署，建立“借、用、还”相统一的地方政府性债务管理机制，有效发挥地方政府规范举债的积极作用，切实防范化解财政金融风险，促进国民经济持续健康发展。</w:t>
      </w:r>
      <w:r w:rsidRPr="000E7D5C">
        <w:rPr>
          <w:rFonts w:ascii="微软雅黑" w:eastAsia="微软雅黑" w:hAnsi="微软雅黑" w:cs="宋体" w:hint="eastAsia"/>
          <w:color w:val="333333"/>
          <w:kern w:val="0"/>
          <w:sz w:val="27"/>
          <w:szCs w:val="27"/>
        </w:rPr>
        <w:br/>
        <w:t xml:space="preserve">　　（二）基本原则。</w:t>
      </w:r>
      <w:r w:rsidRPr="000E7D5C">
        <w:rPr>
          <w:rFonts w:ascii="微软雅黑" w:eastAsia="微软雅黑" w:hAnsi="微软雅黑" w:cs="宋体" w:hint="eastAsia"/>
          <w:color w:val="333333"/>
          <w:kern w:val="0"/>
          <w:sz w:val="27"/>
          <w:szCs w:val="27"/>
        </w:rPr>
        <w:br/>
        <w:t xml:space="preserve">　　疏堵结合。修明渠、堵暗道，赋予地方政府依法适度举债融资权限，加快建立规范的地方政府举债融资机制。同时，坚决制止地方政府违法违规举债。</w:t>
      </w:r>
      <w:r w:rsidRPr="000E7D5C">
        <w:rPr>
          <w:rFonts w:ascii="微软雅黑" w:eastAsia="微软雅黑" w:hAnsi="微软雅黑" w:cs="宋体" w:hint="eastAsia"/>
          <w:color w:val="333333"/>
          <w:kern w:val="0"/>
          <w:sz w:val="27"/>
          <w:szCs w:val="27"/>
        </w:rPr>
        <w:br/>
        <w:t xml:space="preserve">　　分清责任。明确政府和企业的责任，政府债务不得通过企业举借，企业债务不得推给政府偿还，切实做到谁借谁还、风险自担。政府与社会资本合作的，按约定规则依法承担相关责任。</w:t>
      </w:r>
      <w:r w:rsidRPr="000E7D5C">
        <w:rPr>
          <w:rFonts w:ascii="微软雅黑" w:eastAsia="微软雅黑" w:hAnsi="微软雅黑" w:cs="宋体" w:hint="eastAsia"/>
          <w:color w:val="333333"/>
          <w:kern w:val="0"/>
          <w:sz w:val="27"/>
          <w:szCs w:val="27"/>
        </w:rPr>
        <w:br/>
        <w:t xml:space="preserve">　　规范管理。对地方政府债务实行规模控制，严格限定政府举债程序和资金用途，把地方政府债务分门别类纳入全口径预算管理，实现“借、用、还”相统一。</w:t>
      </w:r>
      <w:r w:rsidRPr="000E7D5C">
        <w:rPr>
          <w:rFonts w:ascii="微软雅黑" w:eastAsia="微软雅黑" w:hAnsi="微软雅黑" w:cs="宋体" w:hint="eastAsia"/>
          <w:color w:val="333333"/>
          <w:kern w:val="0"/>
          <w:sz w:val="27"/>
          <w:szCs w:val="27"/>
        </w:rPr>
        <w:br/>
        <w:t xml:space="preserve">　　防范风险。牢牢守住不发生区域性和系统性风险的底线，切实防范</w:t>
      </w:r>
      <w:r w:rsidRPr="000E7D5C">
        <w:rPr>
          <w:rFonts w:ascii="微软雅黑" w:eastAsia="微软雅黑" w:hAnsi="微软雅黑" w:cs="宋体" w:hint="eastAsia"/>
          <w:color w:val="333333"/>
          <w:kern w:val="0"/>
          <w:sz w:val="27"/>
          <w:szCs w:val="27"/>
        </w:rPr>
        <w:lastRenderedPageBreak/>
        <w:t>和化解财政金融风险。</w:t>
      </w:r>
      <w:r w:rsidRPr="000E7D5C">
        <w:rPr>
          <w:rFonts w:ascii="微软雅黑" w:eastAsia="微软雅黑" w:hAnsi="微软雅黑" w:cs="宋体" w:hint="eastAsia"/>
          <w:color w:val="333333"/>
          <w:kern w:val="0"/>
          <w:sz w:val="27"/>
          <w:szCs w:val="27"/>
        </w:rPr>
        <w:br/>
        <w:t xml:space="preserve">　　稳步推进。加强债务管理，既要积极推进，又要谨慎稳健。在规范管理的同时，要妥善处理存量债务，确保在建项目有序推进。</w:t>
      </w:r>
      <w:r w:rsidRPr="000E7D5C">
        <w:rPr>
          <w:rFonts w:ascii="微软雅黑" w:eastAsia="微软雅黑" w:hAnsi="微软雅黑" w:cs="宋体" w:hint="eastAsia"/>
          <w:color w:val="333333"/>
          <w:kern w:val="0"/>
          <w:sz w:val="27"/>
          <w:szCs w:val="27"/>
        </w:rPr>
        <w:br/>
        <w:t xml:space="preserve">　　二、加快建立规范的地方政府举债融资机制</w:t>
      </w:r>
      <w:r w:rsidRPr="000E7D5C">
        <w:rPr>
          <w:rFonts w:ascii="微软雅黑" w:eastAsia="微软雅黑" w:hAnsi="微软雅黑" w:cs="宋体" w:hint="eastAsia"/>
          <w:color w:val="333333"/>
          <w:kern w:val="0"/>
          <w:sz w:val="27"/>
          <w:szCs w:val="27"/>
        </w:rPr>
        <w:br/>
        <w:t xml:space="preserve">　　（一）赋予地方政府依法适度举债权限。经国务院批准，省、自治区、直辖市政府可以适度举借债务，市县级政府确需举借债务的由省、自治区、直辖市政府代为举借。明确划清政府与企业界限，政府债务只能通过政府及其部门举借，不得通过企事业单位等举借。</w:t>
      </w:r>
      <w:r w:rsidRPr="000E7D5C">
        <w:rPr>
          <w:rFonts w:ascii="微软雅黑" w:eastAsia="微软雅黑" w:hAnsi="微软雅黑" w:cs="宋体" w:hint="eastAsia"/>
          <w:color w:val="333333"/>
          <w:kern w:val="0"/>
          <w:sz w:val="27"/>
          <w:szCs w:val="27"/>
        </w:rPr>
        <w:br/>
        <w:t xml:space="preserve">　　（二）建立规范的地方政府举债融资机制。地方政府举债采取政府债券方式。没有收益的公益性事业发展确需政府举借一般债务的，由地方政府发行一般债券融资，主要以一般公共预算收入偿还。有一定收益的公益性事业发展确需政府举借专项债务的，由地方政府通过发行专项债券融资，以对应的政府性基金或专项收入偿还。</w:t>
      </w:r>
      <w:r w:rsidRPr="000E7D5C">
        <w:rPr>
          <w:rFonts w:ascii="微软雅黑" w:eastAsia="微软雅黑" w:hAnsi="微软雅黑" w:cs="宋体" w:hint="eastAsia"/>
          <w:color w:val="333333"/>
          <w:kern w:val="0"/>
          <w:sz w:val="27"/>
          <w:szCs w:val="27"/>
        </w:rPr>
        <w:br/>
        <w:t xml:space="preserve">　　（三）推广使用政府与社会资本合作模式。鼓励社会资本通过特许经营等方式，参与城市基础设施等有一定收益的公益性事业投资和运营。政府通过特许经营权、合理定价、财政补贴等事先公开的收益约定规则，使投资者有长期稳定收益。投资者按照市场化原则出资，按约定规则独自或与政府共同成立特别目的公司建设和运营合作项目。投资者或特别目的公司可以通过银行贷款、企业债、项目收益债券、资产证券化等市场化方式举债并承担偿债责任。政府对投资者或特别目的公司按约定规则依法承担特许经营权、合理定价、财政补贴等相关责任，不承担投资者或特别目的公司的偿债责任。</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四）加强政府或有债务监管。剥离融资平台公司政府融资职能，融资平台公司不得新增政府债务。地方政府新发生或有债务，要严格限定在依法担保的范围内，并根据担保合同依法承担相关责任。地方政府要加强对或有债务的统计分析和风险防控，做好相关监管工作。</w:t>
      </w:r>
      <w:r w:rsidRPr="000E7D5C">
        <w:rPr>
          <w:rFonts w:ascii="微软雅黑" w:eastAsia="微软雅黑" w:hAnsi="微软雅黑" w:cs="宋体" w:hint="eastAsia"/>
          <w:color w:val="333333"/>
          <w:kern w:val="0"/>
          <w:sz w:val="27"/>
          <w:szCs w:val="27"/>
        </w:rPr>
        <w:br/>
        <w:t xml:space="preserve">　　三、对地方政府债务实行规模控制和预算管理</w:t>
      </w:r>
      <w:r w:rsidRPr="000E7D5C">
        <w:rPr>
          <w:rFonts w:ascii="微软雅黑" w:eastAsia="微软雅黑" w:hAnsi="微软雅黑" w:cs="宋体" w:hint="eastAsia"/>
          <w:color w:val="333333"/>
          <w:kern w:val="0"/>
          <w:sz w:val="27"/>
          <w:szCs w:val="27"/>
        </w:rPr>
        <w:br/>
        <w:t xml:space="preserve">　　（一）对地方政府债务实行规模控制。地方政府债务规模实行限额管理，地方政府举债不得突破批准的限额。地方政府一般债务和专项债务规模纳入限额管理，由国务院确定并报全国人大或其常委会批准，分地区限额由财政部在全国人大或其常委会批准的地方政府债务规模内根据各地区债务风险、财力状况等因素测算并报国务院批准。</w:t>
      </w:r>
      <w:r w:rsidRPr="000E7D5C">
        <w:rPr>
          <w:rFonts w:ascii="微软雅黑" w:eastAsia="微软雅黑" w:hAnsi="微软雅黑" w:cs="宋体" w:hint="eastAsia"/>
          <w:color w:val="333333"/>
          <w:kern w:val="0"/>
          <w:sz w:val="27"/>
          <w:szCs w:val="27"/>
        </w:rPr>
        <w:br/>
        <w:t xml:space="preserve">　　（二）严格限定地方政府举债程序和资金用途。地方政府在国务院批准的分地区限额内举借债务，必须报本级人大或其常委会批准。地方政府不得通过企事业单位等举借债务。地方政府举借债务要遵循市场化原则。建立地方政府信用评级制度，逐步完善地方政府债券市场。地方政府举借的债务，只能用于公益性资本支出和适度归还存量债务，不得用于经常性支出。</w:t>
      </w:r>
      <w:r w:rsidRPr="000E7D5C">
        <w:rPr>
          <w:rFonts w:ascii="微软雅黑" w:eastAsia="微软雅黑" w:hAnsi="微软雅黑" w:cs="宋体" w:hint="eastAsia"/>
          <w:color w:val="333333"/>
          <w:kern w:val="0"/>
          <w:sz w:val="27"/>
          <w:szCs w:val="27"/>
        </w:rPr>
        <w:br/>
        <w:t xml:space="preserve">　　（三）把地方政府债务分门别类纳入全口径预算管理。地方政府要将一般债务收支纳入一般公共预算管理，将专项债务收支纳入政府性基金预算管理，将政府与社会资本合作项目中的财政补贴等支出按性质纳入相应政府预算管理。地方政府各部门、各单位要将债务收支纳入部门和单位预算管理。或有债务确需地方政府或其部门、单位依法承担偿债责任的，偿债资金要纳入相应预算管理。</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xml:space="preserve">　　四、控制和化解地方政府性债务风险</w:t>
      </w:r>
      <w:r w:rsidRPr="000E7D5C">
        <w:rPr>
          <w:rFonts w:ascii="微软雅黑" w:eastAsia="微软雅黑" w:hAnsi="微软雅黑" w:cs="宋体" w:hint="eastAsia"/>
          <w:color w:val="333333"/>
          <w:kern w:val="0"/>
          <w:sz w:val="27"/>
          <w:szCs w:val="27"/>
        </w:rPr>
        <w:br/>
        <w:t xml:space="preserve">　　（一）建立地方政府性债务风险预警机制。财政部根据各地区一般债务、专项债务、或有债务等情况，测算债务率、新增债务率、偿债率、逾期债务率等指标，评估各地区债务风险状况，对债务高风险地区进行风险预警。列入风险预警范围的债务高风险地区，要积极采取措施，逐步降低风险。债务风险相对较低的地区，要合理控制债务余额的规模和增长速度。</w:t>
      </w:r>
      <w:r w:rsidRPr="000E7D5C">
        <w:rPr>
          <w:rFonts w:ascii="微软雅黑" w:eastAsia="微软雅黑" w:hAnsi="微软雅黑" w:cs="宋体" w:hint="eastAsia"/>
          <w:color w:val="333333"/>
          <w:kern w:val="0"/>
          <w:sz w:val="27"/>
          <w:szCs w:val="27"/>
        </w:rPr>
        <w:br/>
        <w:t xml:space="preserve">　　（二）建立债务风险应急处置机制。要硬化预算约束，防范道德风险，地方政府对其举借的债务负有偿还责任，中央政府实行不救助原则。各级政府要制定应急处置预案，建立责任追究机制。地方政府出现偿债困难时，要通过控制项目规模、压缩公用经费、处置存量资产等方式，多渠道筹集资金偿还债务。地方政府难以自行偿还债务时，要及时上报，本级和上级政府要启动债务风险应急处置预案和责任追究机制，切实化解债务风险，并追究相关人员责任。</w:t>
      </w:r>
      <w:r w:rsidRPr="000E7D5C">
        <w:rPr>
          <w:rFonts w:ascii="微软雅黑" w:eastAsia="微软雅黑" w:hAnsi="微软雅黑" w:cs="宋体" w:hint="eastAsia"/>
          <w:color w:val="333333"/>
          <w:kern w:val="0"/>
          <w:sz w:val="27"/>
          <w:szCs w:val="27"/>
        </w:rPr>
        <w:br/>
        <w:t xml:space="preserve">　　（三）严肃财经纪律。建立对违法违规融资和违规使用政府性债务资金的惩罚机制，加大对地方政府性债务管理的监督检查力度。地方政府及其所属部门不得在预算之外违法违规举借债务，不得以支持公益性事业发展名义举借债务用于经常性支出或楼堂馆所建设，不得挪用债务资金或改变既定资金用途；对企业的注资、财政补贴等行为必须依法合规，不得违法为任何单位和个人的债务以任何方式提供担保；不得违规干预金融机构等正常经营活动，不得强制金融机构等提供政府性融资。地方政府要进一步规范土地出让管理，坚决制止违法违规出让土地及融</w:t>
      </w:r>
      <w:r w:rsidRPr="000E7D5C">
        <w:rPr>
          <w:rFonts w:ascii="微软雅黑" w:eastAsia="微软雅黑" w:hAnsi="微软雅黑" w:cs="宋体" w:hint="eastAsia"/>
          <w:color w:val="333333"/>
          <w:kern w:val="0"/>
          <w:sz w:val="27"/>
          <w:szCs w:val="27"/>
        </w:rPr>
        <w:lastRenderedPageBreak/>
        <w:t>资行为。</w:t>
      </w:r>
      <w:r w:rsidRPr="000E7D5C">
        <w:rPr>
          <w:rFonts w:ascii="微软雅黑" w:eastAsia="微软雅黑" w:hAnsi="微软雅黑" w:cs="宋体" w:hint="eastAsia"/>
          <w:color w:val="333333"/>
          <w:kern w:val="0"/>
          <w:sz w:val="27"/>
          <w:szCs w:val="27"/>
        </w:rPr>
        <w:br/>
        <w:t xml:space="preserve">　　五、完善配套制度</w:t>
      </w:r>
      <w:r w:rsidRPr="000E7D5C">
        <w:rPr>
          <w:rFonts w:ascii="微软雅黑" w:eastAsia="微软雅黑" w:hAnsi="微软雅黑" w:cs="宋体" w:hint="eastAsia"/>
          <w:color w:val="333333"/>
          <w:kern w:val="0"/>
          <w:sz w:val="27"/>
          <w:szCs w:val="27"/>
        </w:rPr>
        <w:br/>
        <w:t xml:space="preserve">　　（一）完善债务报告和公开制度。完善地方政府性债务统计报告制度，加快建立权责发生制的政府综合财务报告制度，全面反映政府的资产负债情况。对于中央出台的重大政策措施如棚户区改造等形成的政府性债务，应当单独统计、单独核算、单独检查、单独考核。建立地方政府性债务公开制度，加强政府信用体系建设。各地区要定期向社会公开政府性债务及其项目建设情况，自觉接受社会监督。</w:t>
      </w:r>
      <w:r w:rsidRPr="000E7D5C">
        <w:rPr>
          <w:rFonts w:ascii="微软雅黑" w:eastAsia="微软雅黑" w:hAnsi="微软雅黑" w:cs="宋体" w:hint="eastAsia"/>
          <w:color w:val="333333"/>
          <w:kern w:val="0"/>
          <w:sz w:val="27"/>
          <w:szCs w:val="27"/>
        </w:rPr>
        <w:br/>
        <w:t xml:space="preserve">　　（二）建立考核问责机制。把政府性债务作为一个硬指标纳入政绩考核。明确责任落实，各省、自治区、直辖市政府要对本地区地方政府性债务负责任。强化教育和考核，纠正不正确的政绩导向。对脱离实际过度举债、违法违规举债或担保、违规使用债务资金、恶意逃废债务等行为，要追究相关责任人责任。</w:t>
      </w:r>
      <w:r w:rsidRPr="000E7D5C">
        <w:rPr>
          <w:rFonts w:ascii="微软雅黑" w:eastAsia="微软雅黑" w:hAnsi="微软雅黑" w:cs="宋体" w:hint="eastAsia"/>
          <w:color w:val="333333"/>
          <w:kern w:val="0"/>
          <w:sz w:val="27"/>
          <w:szCs w:val="27"/>
        </w:rPr>
        <w:br/>
        <w:t xml:space="preserve">　　（三）强化债权人约束。金融机构等不得违法违规向地方政府提供融资，不得要求地方政府违法违规提供担保。金融机构等购买地方政府债券要符合监管规定，向属于政府或有债务举借主体的企业法人等提供融资要严格规范信贷管理，切实加强风险识别和风险管理。金融机构等违法违规提供政府性融资的，应自行承担相应损失，并按照商业银行法、银行业监督管理法等法律法规追究相关机构和人员的责任。</w:t>
      </w:r>
      <w:r w:rsidRPr="000E7D5C">
        <w:rPr>
          <w:rFonts w:ascii="微软雅黑" w:eastAsia="微软雅黑" w:hAnsi="微软雅黑" w:cs="宋体" w:hint="eastAsia"/>
          <w:color w:val="333333"/>
          <w:kern w:val="0"/>
          <w:sz w:val="27"/>
          <w:szCs w:val="27"/>
        </w:rPr>
        <w:br/>
        <w:t xml:space="preserve">　　六、妥善处理存量债务和在建项目后续融资</w:t>
      </w:r>
      <w:r w:rsidRPr="000E7D5C">
        <w:rPr>
          <w:rFonts w:ascii="微软雅黑" w:eastAsia="微软雅黑" w:hAnsi="微软雅黑" w:cs="宋体" w:hint="eastAsia"/>
          <w:color w:val="333333"/>
          <w:kern w:val="0"/>
          <w:sz w:val="27"/>
          <w:szCs w:val="27"/>
        </w:rPr>
        <w:br/>
        <w:t xml:space="preserve">　　（一）抓紧将存量债务纳入预算管理。以2013年政府性债务审计结果为基础，结合审计后债务增减变化情况，经债权人与债务人共同协</w:t>
      </w:r>
      <w:r w:rsidRPr="000E7D5C">
        <w:rPr>
          <w:rFonts w:ascii="微软雅黑" w:eastAsia="微软雅黑" w:hAnsi="微软雅黑" w:cs="宋体" w:hint="eastAsia"/>
          <w:color w:val="333333"/>
          <w:kern w:val="0"/>
          <w:sz w:val="27"/>
          <w:szCs w:val="27"/>
        </w:rPr>
        <w:lastRenderedPageBreak/>
        <w:t>商确认，对地方政府性债务存量进行甄别。对地方政府及其部门举借的债务，相应纳入一般债务和专项债务。对企事业单位举借的债务，凡属于政府应当偿还的债务，相应纳入一般债务和专项债务。地方政府将甄别后的政府存量债务逐级汇总上报国务院批准后，分类纳入预算管理。纳入预算管理的债务原有债权债务关系不变，偿债资金要按照预算管理要求规范管理。</w:t>
      </w:r>
      <w:r w:rsidRPr="000E7D5C">
        <w:rPr>
          <w:rFonts w:ascii="微软雅黑" w:eastAsia="微软雅黑" w:hAnsi="微软雅黑" w:cs="宋体" w:hint="eastAsia"/>
          <w:color w:val="333333"/>
          <w:kern w:val="0"/>
          <w:sz w:val="27"/>
          <w:szCs w:val="27"/>
        </w:rPr>
        <w:br/>
        <w:t xml:space="preserve">　　（二）积极降低存量债务利息负担。对甄别后纳入预算管理的地方政府存量债务，各地区可申请发行地方政府债券置换，以降低利息负担，优化期限结构，腾出更多资金用于重点项目建设。</w:t>
      </w:r>
      <w:r w:rsidRPr="000E7D5C">
        <w:rPr>
          <w:rFonts w:ascii="微软雅黑" w:eastAsia="微软雅黑" w:hAnsi="微软雅黑" w:cs="宋体" w:hint="eastAsia"/>
          <w:color w:val="333333"/>
          <w:kern w:val="0"/>
          <w:sz w:val="27"/>
          <w:szCs w:val="27"/>
        </w:rPr>
        <w:br/>
        <w:t xml:space="preserve">　　（三）妥善偿还存量债务。处置到期存量债务要遵循市场规则，减少行政干预。对项目自身运营收入能够按时还本付息的债务，应继续通过项目收入偿还。对项目自身运营收入不足以还本付息的债务，可以通过依法注入优质资产、加强经营管理、加大改革力度等措施，提高项目盈利能力，增强偿债能力。地方政府应指导和督促有关债务举借单位加强财务管理、拓宽偿债资金渠道、统筹安排偿债资金。对确需地方政府偿还的债务，地方政府要切实履行偿债责任，必要时可以处置政府资产偿还债务。对确需地方政府履行担保或救助责任的债务，地方政府要切实依法履行协议约定，作出妥善安排。有关债务举借单位和连带责任人要按照协议认真落实偿债责任，明确偿债时限，按时还本付息，不得单方面改变原有债权债务关系，不得转嫁偿债责任和逃废债务。对确已形成损失的存量债务，债权人应按照商业化原则承担相应责任和损失。</w:t>
      </w:r>
      <w:r w:rsidRPr="000E7D5C">
        <w:rPr>
          <w:rFonts w:ascii="微软雅黑" w:eastAsia="微软雅黑" w:hAnsi="微软雅黑" w:cs="宋体" w:hint="eastAsia"/>
          <w:color w:val="333333"/>
          <w:kern w:val="0"/>
          <w:sz w:val="27"/>
          <w:szCs w:val="27"/>
        </w:rPr>
        <w:br/>
        <w:t xml:space="preserve">　　（四）确保在建项目后续融资。地方政府要统筹各类资金，优先保</w:t>
      </w:r>
      <w:r w:rsidRPr="000E7D5C">
        <w:rPr>
          <w:rFonts w:ascii="微软雅黑" w:eastAsia="微软雅黑" w:hAnsi="微软雅黑" w:cs="宋体" w:hint="eastAsia"/>
          <w:color w:val="333333"/>
          <w:kern w:val="0"/>
          <w:sz w:val="27"/>
          <w:szCs w:val="27"/>
        </w:rPr>
        <w:lastRenderedPageBreak/>
        <w:t>障在建项目续建和收尾。对使用债务资金的在建项目，原贷款银行等要重新进行审核，凡符合国家有关规定的项目，要继续按协议提供贷款，推进项目建设；对在建项目确实没有其他建设资金来源的，应主要通过政府与社会资本合作模式和地方政府债券解决后续融资。</w:t>
      </w:r>
      <w:r w:rsidRPr="000E7D5C">
        <w:rPr>
          <w:rFonts w:ascii="微软雅黑" w:eastAsia="微软雅黑" w:hAnsi="微软雅黑" w:cs="宋体" w:hint="eastAsia"/>
          <w:color w:val="333333"/>
          <w:kern w:val="0"/>
          <w:sz w:val="27"/>
          <w:szCs w:val="27"/>
        </w:rPr>
        <w:br/>
        <w:t xml:space="preserve">　　七、加强组织领导</w:t>
      </w:r>
      <w:r w:rsidRPr="000E7D5C">
        <w:rPr>
          <w:rFonts w:ascii="微软雅黑" w:eastAsia="微软雅黑" w:hAnsi="微软雅黑" w:cs="宋体" w:hint="eastAsia"/>
          <w:color w:val="333333"/>
          <w:kern w:val="0"/>
          <w:sz w:val="27"/>
          <w:szCs w:val="27"/>
        </w:rPr>
        <w:br/>
        <w:t xml:space="preserve">　　各地区、各部门要高度重视，把思想和行动统一到党中央、国务院决策部署上来。地方政府要切实担负起加强地方政府性债务管理、防范化解财政金融风险的责任，结合实际制定具体方案，政府主要负责人要作为第一责任人，认真抓好政策落实。要建立地方政府性债务协调机制，统筹加强地方政府性债务管理。财政部门作为地方政府性债务归口管理部门，要完善债务管理制度，充实债务管理力量，做好债务规模控制、债券发行、预算管理、统计分析和风险监控等工作；发展改革部门要加强政府投资计划管理和项目审批，从严审批债务风险较高地区的新开工项目；金融监管部门要加强监管、正确引导，制止金融机构等违法违规提供融资；审计部门要依法加强对地方政府性债务的审计监督，促进完善债务管理制度，防范风险，规范管理，提高资金使用效益。各地区、各部门要切实履行职责，加强协调配合，全面做好加强地方政府性债务管理各项工作，确保政策贯彻落实到位。</w:t>
      </w:r>
    </w:p>
    <w:p w:rsidR="000E7D5C" w:rsidRPr="000E7D5C" w:rsidRDefault="000E7D5C" w:rsidP="000E7D5C">
      <w:pPr>
        <w:widowControl/>
        <w:jc w:val="righ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xml:space="preserve">　　　　　　　　　　　　　　　　　　　　　　　　　　　　　　   国务院</w:t>
      </w:r>
      <w:r w:rsidRPr="000E7D5C">
        <w:rPr>
          <w:rFonts w:ascii="微软雅黑" w:eastAsia="微软雅黑" w:hAnsi="微软雅黑" w:cs="宋体" w:hint="eastAsia"/>
          <w:color w:val="333333"/>
          <w:kern w:val="0"/>
          <w:sz w:val="27"/>
          <w:szCs w:val="27"/>
        </w:rPr>
        <w:br/>
        <w:t xml:space="preserve">　　　　　　　　　　　　　　　　　　　　　　　　　　　　　 2014年9月21日</w:t>
      </w:r>
    </w:p>
    <w:p w:rsidR="000E7D5C" w:rsidRDefault="000E7D5C" w:rsidP="000E7D5C">
      <w:pPr>
        <w:pStyle w:val="3"/>
        <w:jc w:val="center"/>
        <w:rPr>
          <w:sz w:val="30"/>
          <w:szCs w:val="30"/>
          <w:lang w:val="zh-CN"/>
        </w:rPr>
      </w:pPr>
      <w:bookmarkStart w:id="9" w:name="_Toc12864174"/>
      <w:r w:rsidRPr="000E7D5C">
        <w:rPr>
          <w:rFonts w:hint="eastAsia"/>
          <w:sz w:val="30"/>
          <w:szCs w:val="30"/>
          <w:lang w:val="zh-CN"/>
        </w:rPr>
        <w:lastRenderedPageBreak/>
        <w:t>国务院关于加强地方政府融资平台公司管理有关问题的通知（国发〔</w:t>
      </w:r>
      <w:r w:rsidRPr="000E7D5C">
        <w:rPr>
          <w:rFonts w:hint="eastAsia"/>
          <w:sz w:val="30"/>
          <w:szCs w:val="30"/>
          <w:lang w:val="zh-CN"/>
        </w:rPr>
        <w:t>2010</w:t>
      </w:r>
      <w:r w:rsidRPr="000E7D5C">
        <w:rPr>
          <w:rFonts w:hint="eastAsia"/>
          <w:sz w:val="30"/>
          <w:szCs w:val="30"/>
          <w:lang w:val="zh-CN"/>
        </w:rPr>
        <w:t>〕</w:t>
      </w:r>
      <w:r w:rsidRPr="000E7D5C">
        <w:rPr>
          <w:rFonts w:hint="eastAsia"/>
          <w:sz w:val="30"/>
          <w:szCs w:val="30"/>
          <w:lang w:val="zh-CN"/>
        </w:rPr>
        <w:t>19</w:t>
      </w:r>
      <w:r w:rsidRPr="000E7D5C">
        <w:rPr>
          <w:rFonts w:hint="eastAsia"/>
          <w:sz w:val="30"/>
          <w:szCs w:val="30"/>
          <w:lang w:val="zh-CN"/>
        </w:rPr>
        <w:t>号）</w:t>
      </w:r>
      <w:bookmarkEnd w:id="9"/>
    </w:p>
    <w:p w:rsidR="000E7D5C" w:rsidRPr="000E7D5C" w:rsidRDefault="000E7D5C" w:rsidP="000E7D5C">
      <w:pPr>
        <w:widowControl/>
        <w:shd w:val="clear" w:color="auto" w:fill="FFFFFF"/>
        <w:spacing w:before="100" w:beforeAutospacing="1" w:after="100" w:afterAutospacing="1"/>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各省、自治区、直辖市人民政府，国务院各部委、各直属机构：</w:t>
      </w:r>
      <w:r w:rsidRPr="000E7D5C">
        <w:rPr>
          <w:rFonts w:ascii="微软雅黑" w:eastAsia="微软雅黑" w:hAnsi="微软雅黑" w:cs="宋体" w:hint="eastAsia"/>
          <w:color w:val="333333"/>
          <w:kern w:val="0"/>
          <w:sz w:val="27"/>
          <w:szCs w:val="27"/>
        </w:rPr>
        <w:br/>
        <w:t>    近年来，地方政府融资平台公司（指由地方政府及其部门和机构等通过财政拨款或注入土地、股权等资产设立，承担政府投资项目融资功能，并拥有独立法人资格的经济实体）通过举债融资，为地方经济和社会发展筹集资金，在加强基础设施建设以及应对国际金融危机冲击中发挥了积极作用。但与此同时，也出现了一些亟须高度关注的问题，主要是融资平台公司举债融资规模迅速膨胀，运作不够规范；地方政府违规或变相提供担保，偿债风险日益加大；部分银行业金融机构风险意识薄弱，对融资平台公司信贷管理缺失等。为有效防范财政金融风险，加强对地方政府融资平台公司管理，保持经济持续健康发展和社会稳定，现就有关问题通知如下：</w:t>
      </w:r>
      <w:r w:rsidRPr="000E7D5C">
        <w:rPr>
          <w:rFonts w:ascii="微软雅黑" w:eastAsia="微软雅黑" w:hAnsi="微软雅黑" w:cs="宋体" w:hint="eastAsia"/>
          <w:color w:val="333333"/>
          <w:kern w:val="0"/>
          <w:sz w:val="27"/>
          <w:szCs w:val="27"/>
        </w:rPr>
        <w:br/>
        <w:t>    一、抓紧清理核实并妥善处理融资平台公司债务</w:t>
      </w:r>
      <w:r w:rsidRPr="000E7D5C">
        <w:rPr>
          <w:rFonts w:ascii="微软雅黑" w:eastAsia="微软雅黑" w:hAnsi="微软雅黑" w:cs="宋体" w:hint="eastAsia"/>
          <w:color w:val="333333"/>
          <w:kern w:val="0"/>
          <w:sz w:val="27"/>
          <w:szCs w:val="27"/>
        </w:rPr>
        <w:br/>
        <w:t>    地方各级政府要对融资平台公司债务进行一次全面清理，并按照分类管理、区别对待的原则，妥善处理债务偿还和在建项目后续融资问题。</w:t>
      </w:r>
      <w:r w:rsidRPr="000E7D5C">
        <w:rPr>
          <w:rFonts w:ascii="微软雅黑" w:eastAsia="微软雅黑" w:hAnsi="微软雅黑" w:cs="宋体" w:hint="eastAsia"/>
          <w:color w:val="333333"/>
          <w:kern w:val="0"/>
          <w:sz w:val="27"/>
          <w:szCs w:val="27"/>
        </w:rPr>
        <w:br/>
        <w:t>    纳入此次清理范围的债务，包括融资平台公司直接借入、拖欠或因提供担保、回购等信用支持形成的债务。债务经清理核实后按以下原则分类：（1）融资平台公司因承担公益性项目建设举借、主要依靠财政性资金偿还的债务；（2）融资平台公司因承担公益性项目建设举借、项目本身有稳定经营性收入并主要依靠自身收益偿还的债务；（3）融资平台公司因承担非公益性项目建设举借的债务。</w:t>
      </w:r>
      <w:r w:rsidRPr="000E7D5C">
        <w:rPr>
          <w:rFonts w:ascii="微软雅黑" w:eastAsia="微软雅黑" w:hAnsi="微软雅黑" w:cs="宋体" w:hint="eastAsia"/>
          <w:color w:val="333333"/>
          <w:kern w:val="0"/>
          <w:sz w:val="27"/>
          <w:szCs w:val="27"/>
        </w:rPr>
        <w:br/>
      </w:r>
      <w:r w:rsidRPr="000E7D5C">
        <w:rPr>
          <w:rFonts w:ascii="微软雅黑" w:eastAsia="微软雅黑" w:hAnsi="微软雅黑" w:cs="宋体" w:hint="eastAsia"/>
          <w:color w:val="333333"/>
          <w:kern w:val="0"/>
          <w:sz w:val="27"/>
          <w:szCs w:val="27"/>
        </w:rPr>
        <w:lastRenderedPageBreak/>
        <w:t>    对原计划由融资平台公司承担融资的在建项目，对其后续资金应根据不同情况妥善处理。地方各级政府要严格审核项目投资预算和资金来源，各类资金要集中用于项目续建和收尾，严格控制新开工项目，防止出现“半拉子”工程。经地方政府审核后，对还款来源主要依靠财政性资金的公益性在建项目，除法律和国务院另有规定外，不得再继续通过融资平台公司融资，应通过财政预算等渠道，或采取市场化方式引导社会资金解决建设资金问题。对使用债务资金的其他在建项目，原贷款银行等要重新进行审核，凡符合国家产业政策、土地政策、环境保护政策、信贷审慎管理规定及宏观调控政策等要求的项目，要继续按协议提供贷款，推进项目建设；对不符合上述要求的项目，地方政府要尽快进行清理，妥善处置。</w:t>
      </w:r>
      <w:r w:rsidRPr="000E7D5C">
        <w:rPr>
          <w:rFonts w:ascii="微软雅黑" w:eastAsia="微软雅黑" w:hAnsi="微软雅黑" w:cs="宋体" w:hint="eastAsia"/>
          <w:color w:val="333333"/>
          <w:kern w:val="0"/>
          <w:sz w:val="27"/>
          <w:szCs w:val="27"/>
        </w:rPr>
        <w:br/>
        <w:t>    对融资平台公司贷款，银行业金融机构要坚持按照“逐包打开、逐笔核对、重新评估、整改保全”的原则进行全面清理，及时采取补救措施，确保信贷资产安全。</w:t>
      </w:r>
      <w:r w:rsidRPr="000E7D5C">
        <w:rPr>
          <w:rFonts w:ascii="微软雅黑" w:eastAsia="微软雅黑" w:hAnsi="微软雅黑" w:cs="宋体" w:hint="eastAsia"/>
          <w:color w:val="333333"/>
          <w:kern w:val="0"/>
          <w:sz w:val="27"/>
          <w:szCs w:val="27"/>
        </w:rPr>
        <w:br/>
        <w:t>    地方各级政府要采取有效措施，落实有关债务人偿债责任。对融资平台公司存量债务，要按照协议约定偿还，不得单方面改变原有债权债务关系，不得转嫁偿债责任和逃废债务。融资平台公司等要统筹安排资金，制定偿债计划，明确偿债时限，切实承担还本付息责任。</w:t>
      </w:r>
      <w:r w:rsidRPr="000E7D5C">
        <w:rPr>
          <w:rFonts w:ascii="微软雅黑" w:eastAsia="微软雅黑" w:hAnsi="微软雅黑" w:cs="宋体" w:hint="eastAsia"/>
          <w:color w:val="333333"/>
          <w:kern w:val="0"/>
          <w:sz w:val="27"/>
          <w:szCs w:val="27"/>
        </w:rPr>
        <w:br/>
        <w:t>    二、对融资平台公司进行清理规范</w:t>
      </w:r>
      <w:r w:rsidRPr="000E7D5C">
        <w:rPr>
          <w:rFonts w:ascii="微软雅黑" w:eastAsia="微软雅黑" w:hAnsi="微软雅黑" w:cs="宋体" w:hint="eastAsia"/>
          <w:color w:val="333333"/>
          <w:kern w:val="0"/>
          <w:sz w:val="27"/>
          <w:szCs w:val="27"/>
        </w:rPr>
        <w:br/>
        <w:t>    在本通知下发前已经设立的融资平台公司，要按以下要求进行清理规范：对只承担公益性项目融资任务且主要依靠财政性资金偿还债务的融资平台公司，今后不得再承担融资任务，相关地方政府要在明确还债责</w:t>
      </w:r>
      <w:r w:rsidRPr="000E7D5C">
        <w:rPr>
          <w:rFonts w:ascii="微软雅黑" w:eastAsia="微软雅黑" w:hAnsi="微软雅黑" w:cs="宋体" w:hint="eastAsia"/>
          <w:color w:val="333333"/>
          <w:kern w:val="0"/>
          <w:sz w:val="27"/>
          <w:szCs w:val="27"/>
        </w:rPr>
        <w:lastRenderedPageBreak/>
        <w:t>任，落实还款措施后，对公司做出妥善处理；对承担上述公益性项目融资任务，同时还承担公益性项目建设、运营任务的融资平台公司，要在落实偿债责任和措施后剥离融资业务，不再保留融资平台职能。对承担有稳定经营性收入的公益性项目融资任务并主要依靠自身收益偿还债务的融资平台公司，以及承担非公益性项目融资任务的融资平台公司，要按照《中华人民共和国公司法》等有关规定，充实公司资本金，完善治理结构，实现商业运作；要通过引进民间投资等市场化途径，促进投资主体多元化，改善融资平台公司的股权结构。对其他兼有不同类型融资功能的融资平台公司，也要按照上述原则进行清理规范。</w:t>
      </w:r>
      <w:r w:rsidRPr="000E7D5C">
        <w:rPr>
          <w:rFonts w:ascii="微软雅黑" w:eastAsia="微软雅黑" w:hAnsi="微软雅黑" w:cs="宋体" w:hint="eastAsia"/>
          <w:color w:val="333333"/>
          <w:kern w:val="0"/>
          <w:sz w:val="27"/>
          <w:szCs w:val="27"/>
        </w:rPr>
        <w:br/>
        <w:t>    今后地方政府确需设立融资平台公司的，必须严格依照有关法律法规办理，足额注入资本金，学校、医院、公园等公益性资产不得作为资本注入融资平台公司。</w:t>
      </w:r>
      <w:r w:rsidRPr="000E7D5C">
        <w:rPr>
          <w:rFonts w:ascii="微软雅黑" w:eastAsia="微软雅黑" w:hAnsi="微软雅黑" w:cs="宋体" w:hint="eastAsia"/>
          <w:color w:val="333333"/>
          <w:kern w:val="0"/>
          <w:sz w:val="27"/>
          <w:szCs w:val="27"/>
        </w:rPr>
        <w:br/>
        <w:t>    三、加强对融资平台公司的融资管理和银行业金融机构等的信贷管理</w:t>
      </w:r>
      <w:r w:rsidRPr="000E7D5C">
        <w:rPr>
          <w:rFonts w:ascii="微软雅黑" w:eastAsia="微软雅黑" w:hAnsi="微软雅黑" w:cs="宋体" w:hint="eastAsia"/>
          <w:color w:val="333333"/>
          <w:kern w:val="0"/>
          <w:sz w:val="27"/>
          <w:szCs w:val="27"/>
        </w:rPr>
        <w:br/>
        <w:t>    融资平台公司融资和担保要严格执行相关规定。经清理整合后保留的融资平台公司，其融资行为必须规范，向银行业金融机构申请贷款须落实到项目，以项目法人公司作为承贷主体，并符合有关贷款条件的规定。融资项目必须符合国家宏观调控政策、发展规划、行业规划、产业政策、行业准入标准和土地利用总体规划等要求，按照国家有关规定履行项目审批、核准或备案手续。要严格按照规定用途使用资金，讲求效益，稳健经营。</w:t>
      </w:r>
      <w:r w:rsidRPr="000E7D5C">
        <w:rPr>
          <w:rFonts w:ascii="微软雅黑" w:eastAsia="微软雅黑" w:hAnsi="微软雅黑" w:cs="宋体" w:hint="eastAsia"/>
          <w:color w:val="333333"/>
          <w:kern w:val="0"/>
          <w:sz w:val="27"/>
          <w:szCs w:val="27"/>
        </w:rPr>
        <w:br/>
        <w:t>    银行业金融机构等要严格规范信贷管理，切实加强风险识别和风险管理。要落实借款人准入条件，按商业化原则履行审批程序，审慎评估借</w:t>
      </w:r>
      <w:r w:rsidRPr="000E7D5C">
        <w:rPr>
          <w:rFonts w:ascii="微软雅黑" w:eastAsia="微软雅黑" w:hAnsi="微软雅黑" w:cs="宋体" w:hint="eastAsia"/>
          <w:color w:val="333333"/>
          <w:kern w:val="0"/>
          <w:sz w:val="27"/>
          <w:szCs w:val="27"/>
        </w:rPr>
        <w:lastRenderedPageBreak/>
        <w:t>款人财务能力和还款来源。凡没有稳定现金流作为还款来源的，不得发放贷款。向融资平台公司新发贷款要直接对应项目，并严格执行国家有关项目资本金的规定。严格执行贷款集中度要求，加强贷款风险控制，坚持授信审批的原则、程序与标准。要按照要求将符合抵质押条件的项目资产或项目预期收益等权利作为贷款担保。要认真审查贷款投向，确保贷款符合国家规划和产业发展政策要求。要加强贷后管理，加大监督和检查力度。适当提高融资平台公司贷款的风险权重，按照不同情况严格进行贷款质量分类。</w:t>
      </w:r>
      <w:r w:rsidRPr="000E7D5C">
        <w:rPr>
          <w:rFonts w:ascii="微软雅黑" w:eastAsia="微软雅黑" w:hAnsi="微软雅黑" w:cs="宋体" w:hint="eastAsia"/>
          <w:color w:val="333333"/>
          <w:kern w:val="0"/>
          <w:sz w:val="27"/>
          <w:szCs w:val="27"/>
        </w:rPr>
        <w:br/>
        <w:t>    四、坚决制止地方政府违规担保承诺行为</w:t>
      </w:r>
      <w:r w:rsidRPr="000E7D5C">
        <w:rPr>
          <w:rFonts w:ascii="微软雅黑" w:eastAsia="微软雅黑" w:hAnsi="微软雅黑" w:cs="宋体" w:hint="eastAsia"/>
          <w:color w:val="333333"/>
          <w:kern w:val="0"/>
          <w:sz w:val="27"/>
          <w:szCs w:val="27"/>
        </w:rPr>
        <w:br/>
        <w:t>    地方政府在出资范围内对融资平台公司承担有限责任，实现融资平台公司债务风险内部化。要严格执行《中华人民共和国担保法》等有关法律法规规定，除法律和国务院另有规定外，地方各级政府及其所属部门、机构和主要依靠财政拨款的经费补助事业单位，均不得以财政性收入、行政事业等单位的国有资产，或其他任何直接、间接形式为融资平台公司融资行为提供担保。</w:t>
      </w:r>
      <w:r w:rsidRPr="000E7D5C">
        <w:rPr>
          <w:rFonts w:ascii="微软雅黑" w:eastAsia="微软雅黑" w:hAnsi="微软雅黑" w:cs="宋体" w:hint="eastAsia"/>
          <w:color w:val="333333"/>
          <w:kern w:val="0"/>
          <w:sz w:val="27"/>
          <w:szCs w:val="27"/>
        </w:rPr>
        <w:br/>
        <w:t>    五、加强组织领导，确保工作落实</w:t>
      </w:r>
      <w:r w:rsidRPr="000E7D5C">
        <w:rPr>
          <w:rFonts w:ascii="微软雅黑" w:eastAsia="微软雅黑" w:hAnsi="微软雅黑" w:cs="宋体" w:hint="eastAsia"/>
          <w:color w:val="333333"/>
          <w:kern w:val="0"/>
          <w:sz w:val="27"/>
          <w:szCs w:val="27"/>
        </w:rPr>
        <w:br/>
        <w:t>    各地区、各部门要从大局出发，牢固树立科学发展观和正确政绩观，充分认识加强融资平台公司管理工作的重要性和紧迫性，统一思想，加强领导，精心组织，结合本地区、本部门实际认真抓好落实。财政部、发展改革委、人民银行、银监会等部门和机构，要抓紧制定具体实施方案，完善相关政策，加强对这项工作的指导监督。财政部要会同有关部门加快建立融资平台公司债务管理信息系统、会计核算和统计报告制度，</w:t>
      </w:r>
      <w:r w:rsidRPr="000E7D5C">
        <w:rPr>
          <w:rFonts w:ascii="微软雅黑" w:eastAsia="微软雅黑" w:hAnsi="微软雅黑" w:cs="宋体" w:hint="eastAsia"/>
          <w:color w:val="333333"/>
          <w:kern w:val="0"/>
          <w:sz w:val="27"/>
          <w:szCs w:val="27"/>
        </w:rPr>
        <w:lastRenderedPageBreak/>
        <w:t>以及融资平台公司债务信息定期通报制度，实现对融资平台公司债务的全口径管理和动态监控。审计部门要加强对融资平台公司的审计监督。要研究建立地方政府债务规模管理和风险预警机制，将地方政府债务收支纳入预算管理，逐步形成与社会主义市场经济体制相适应、管理规范、运行高效的地方政府举债融资机制。 </w:t>
      </w:r>
      <w:r w:rsidRPr="000E7D5C">
        <w:rPr>
          <w:rFonts w:ascii="微软雅黑" w:eastAsia="微软雅黑" w:hAnsi="微软雅黑" w:cs="宋体" w:hint="eastAsia"/>
          <w:color w:val="333333"/>
          <w:kern w:val="0"/>
          <w:sz w:val="27"/>
          <w:szCs w:val="27"/>
        </w:rPr>
        <w:br/>
        <w:t>    地方各级政府和有关部门、单位都要严格遵守法律制度规定，确保有法必依，违法必究。对清理规范中检查出来的问题要及时予以纠正，对清理规范后仍然违反《中华人民共和国预算法》、《中华人民共和国担保法》、《中华人民共和国商业银行法》等规定的要依法依规严肃处理，并追究相关责任人的责任。</w:t>
      </w:r>
      <w:r w:rsidRPr="000E7D5C">
        <w:rPr>
          <w:rFonts w:ascii="微软雅黑" w:eastAsia="微软雅黑" w:hAnsi="微软雅黑" w:cs="宋体" w:hint="eastAsia"/>
          <w:color w:val="333333"/>
          <w:kern w:val="0"/>
          <w:sz w:val="27"/>
          <w:szCs w:val="27"/>
        </w:rPr>
        <w:br/>
        <w:t>    各省（区、市）人民政府要切实履行职责，抓紧落实相关工作，并将工作落实情况于2010年12月31日前上报国务院，抄送财政部、发展改革委、人民银行和银监会。</w:t>
      </w:r>
    </w:p>
    <w:p w:rsidR="000E7D5C" w:rsidRPr="000E7D5C" w:rsidRDefault="000E7D5C" w:rsidP="000E7D5C">
      <w:pPr>
        <w:widowControl/>
        <w:shd w:val="clear" w:color="auto" w:fill="FFFFFF"/>
        <w:spacing w:before="100" w:beforeAutospacing="1" w:after="100" w:afterAutospacing="1"/>
        <w:jc w:val="left"/>
        <w:rPr>
          <w:rFonts w:ascii="微软雅黑" w:eastAsia="微软雅黑" w:hAnsi="微软雅黑" w:cs="宋体"/>
          <w:color w:val="333333"/>
          <w:kern w:val="0"/>
          <w:sz w:val="27"/>
          <w:szCs w:val="27"/>
        </w:rPr>
      </w:pPr>
      <w:r w:rsidRPr="000E7D5C">
        <w:rPr>
          <w:rFonts w:ascii="微软雅黑" w:eastAsia="微软雅黑" w:hAnsi="微软雅黑" w:cs="宋体" w:hint="eastAsia"/>
          <w:color w:val="333333"/>
          <w:kern w:val="0"/>
          <w:sz w:val="27"/>
          <w:szCs w:val="27"/>
        </w:rPr>
        <w:t>                                                            国务院</w:t>
      </w:r>
      <w:r w:rsidRPr="000E7D5C">
        <w:rPr>
          <w:rFonts w:ascii="微软雅黑" w:eastAsia="微软雅黑" w:hAnsi="微软雅黑" w:cs="宋体" w:hint="eastAsia"/>
          <w:color w:val="333333"/>
          <w:kern w:val="0"/>
          <w:sz w:val="27"/>
          <w:szCs w:val="27"/>
        </w:rPr>
        <w:br/>
        <w:t>                                                      二○一○年六月十日</w:t>
      </w:r>
    </w:p>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Pr>
        <w:pStyle w:val="2"/>
        <w:jc w:val="center"/>
      </w:pPr>
      <w:bookmarkStart w:id="10" w:name="_Toc12864175"/>
      <w:r>
        <w:rPr>
          <w:rFonts w:hint="eastAsia"/>
        </w:rPr>
        <w:t>2</w:t>
      </w:r>
      <w:r>
        <w:rPr>
          <w:rFonts w:hint="eastAsia"/>
        </w:rPr>
        <w:t>、财政部文件</w:t>
      </w:r>
      <w:bookmarkEnd w:id="10"/>
    </w:p>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0E7D5C" w:rsidP="000E7D5C"/>
    <w:p w:rsidR="000E7D5C" w:rsidRDefault="00DE78F2" w:rsidP="00DE78F2">
      <w:pPr>
        <w:pStyle w:val="3"/>
        <w:jc w:val="center"/>
        <w:rPr>
          <w:sz w:val="30"/>
          <w:szCs w:val="30"/>
          <w:lang w:val="zh-CN"/>
        </w:rPr>
      </w:pPr>
      <w:bookmarkStart w:id="11" w:name="_Toc12864176"/>
      <w:r w:rsidRPr="00DE78F2">
        <w:rPr>
          <w:rFonts w:hint="eastAsia"/>
          <w:sz w:val="30"/>
          <w:szCs w:val="30"/>
          <w:lang w:val="zh-CN"/>
        </w:rPr>
        <w:lastRenderedPageBreak/>
        <w:t>财政部关于印发《地方政府债务信息公开办法（试行）》的通知</w:t>
      </w:r>
      <w:r w:rsidRPr="00DE78F2">
        <w:rPr>
          <w:rFonts w:hint="eastAsia"/>
          <w:sz w:val="30"/>
          <w:szCs w:val="30"/>
          <w:lang w:val="zh-CN"/>
        </w:rPr>
        <w:t>(</w:t>
      </w:r>
      <w:r w:rsidRPr="00DE78F2">
        <w:rPr>
          <w:rFonts w:hint="eastAsia"/>
          <w:sz w:val="30"/>
          <w:szCs w:val="30"/>
          <w:lang w:val="zh-CN"/>
        </w:rPr>
        <w:t>财预〔</w:t>
      </w:r>
      <w:r w:rsidRPr="00DE78F2">
        <w:rPr>
          <w:rFonts w:hint="eastAsia"/>
          <w:sz w:val="30"/>
          <w:szCs w:val="30"/>
          <w:lang w:val="zh-CN"/>
        </w:rPr>
        <w:t>2018</w:t>
      </w:r>
      <w:r w:rsidRPr="00DE78F2">
        <w:rPr>
          <w:rFonts w:hint="eastAsia"/>
          <w:sz w:val="30"/>
          <w:szCs w:val="30"/>
          <w:lang w:val="zh-CN"/>
        </w:rPr>
        <w:t>〕</w:t>
      </w:r>
      <w:r w:rsidRPr="00DE78F2">
        <w:rPr>
          <w:rFonts w:hint="eastAsia"/>
          <w:sz w:val="30"/>
          <w:szCs w:val="30"/>
          <w:lang w:val="zh-CN"/>
        </w:rPr>
        <w:t>209</w:t>
      </w:r>
      <w:r w:rsidRPr="00DE78F2">
        <w:rPr>
          <w:rFonts w:hint="eastAsia"/>
          <w:sz w:val="30"/>
          <w:szCs w:val="30"/>
          <w:lang w:val="zh-CN"/>
        </w:rPr>
        <w:t>号</w:t>
      </w:r>
      <w:r w:rsidRPr="00DE78F2">
        <w:rPr>
          <w:rFonts w:hint="eastAsia"/>
          <w:sz w:val="30"/>
          <w:szCs w:val="30"/>
          <w:lang w:val="zh-CN"/>
        </w:rPr>
        <w:t>)</w:t>
      </w:r>
      <w:bookmarkEnd w:id="11"/>
    </w:p>
    <w:p w:rsidR="00DE78F2" w:rsidRPr="00DE78F2" w:rsidRDefault="00DE78F2" w:rsidP="00DE78F2">
      <w:pPr>
        <w:widowControl/>
        <w:shd w:val="clear" w:color="auto" w:fill="FFFFFF"/>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各省、自治区、直辖市、计划单列市财政厅（局），新疆生产建设兵团财政局：</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近年来，为贯彻落实党中央、国务院决策部署，根据《中华人民共和国预算法》、《国务院关于加强地方政府性债务管理的意见》（国发〔2014〕43号）等法律和政策规定，财政部持续推进地方政府债务信息公开工作，取得了明显成效。</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按照《国务院办公厅关于印发2018年政务公开工作要点的通知》（国办发〔2018〕23号）要求，为进一步做好地方政府债务信息公开工作，增强地方政府债务信息透明度，自觉接受监督，防范地方政府债务风险,我们制定了《地方政府债务信息公开办法》。现印发给你们，请遵照执行。</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特此通知。</w:t>
      </w:r>
    </w:p>
    <w:p w:rsidR="00DE78F2" w:rsidRPr="00DE78F2" w:rsidRDefault="00DE78F2" w:rsidP="00DE78F2">
      <w:pPr>
        <w:widowControl/>
        <w:shd w:val="clear" w:color="auto" w:fill="FFFFFF"/>
        <w:jc w:val="righ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财政部</w:t>
      </w:r>
      <w:r w:rsidRPr="00DE78F2">
        <w:rPr>
          <w:rFonts w:ascii="微软雅黑" w:eastAsia="微软雅黑" w:hAnsi="微软雅黑" w:cs="宋体" w:hint="eastAsia"/>
          <w:color w:val="333333"/>
          <w:kern w:val="0"/>
          <w:sz w:val="27"/>
          <w:szCs w:val="27"/>
        </w:rPr>
        <w:br/>
        <w:t>2018年12月20日</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附件：</w:t>
      </w:r>
    </w:p>
    <w:p w:rsidR="00DE78F2" w:rsidRPr="00DE78F2" w:rsidRDefault="00DE78F2" w:rsidP="00DE78F2">
      <w:pPr>
        <w:widowControl/>
        <w:shd w:val="clear" w:color="auto" w:fill="FFFFFF"/>
        <w:jc w:val="center"/>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地方政府债务信息公开办法（试行）</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第一条【目的和依据】为依法规范地方政府债务管理，切实增强地方政府债务信息透明度，自觉接受监督，防范地方政府债务风险,根据《中</w:t>
      </w:r>
      <w:r w:rsidRPr="00DE78F2">
        <w:rPr>
          <w:rFonts w:ascii="微软雅黑" w:eastAsia="微软雅黑" w:hAnsi="微软雅黑" w:cs="宋体" w:hint="eastAsia"/>
          <w:color w:val="333333"/>
          <w:kern w:val="0"/>
          <w:sz w:val="27"/>
          <w:szCs w:val="27"/>
        </w:rPr>
        <w:lastRenderedPageBreak/>
        <w:t>华人民共和国预算法》、《中华人民共和国政府信息公开条例》、《国务院关于加强地方政府性债务管理的意见》（国发〔2014〕43号）等法律法规和制度规定，制定本办法。</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第二条【适用范围】本办法适用于县级以上各级财政部门地方政府债务信息公开工作。</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本办法所称地方政府债务包括地方政府一般债务和地方政府专项债务；地方政府债务信息包括预决算公开范围的地方政府债务限额、余额等信息以及预决算公开范围之外的地方政府债券发行、存续期、重大事项等相关信息；重大事项是指可能引起地方政府一般债券、专项债券投资价值发生增减变化，影响投资者合法权益的相关事项。</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第三条【公开原则】地方政府债务信息公开应当遵循以下原则：</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（一）坚持以公开为常态、不公开为例外；</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（二）坚持谁制作、谁负责、谁公开；</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（三）坚持突出重点，真实、准确、完整、及时公开；</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（四）坚持以公开促改革、以公开促规范，推进国家治理体系和治理能力现代化。</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第四条【公开渠道】预决算公开范围的地方政府债务限额、余额、使用安排及还本付息等信息应当在地方政府及财政部门门户网站公开。财政部门未设立门户网站的，应当在本级政府门户网站设立专栏公开。</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lastRenderedPageBreak/>
        <w:t>预决算范围之外的地方政府债券等信息应当在省级财政部门、发行场所门户网站公开。财政部设立地方政府债务信息公开平台或专栏，支持地方财政部门公开地方政府债务（券）相关信息。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第五条【预决算公开】县级以上地方各级财政部门（以下简称“地方各级财政部门”）应当随同预决算公开地方政府债务限额、余额、使用安排及还本付息等信息。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一）随同预算公开上一年度本地区、本级及所属地区地方政府债务限额及余额（或余额预计执行数），以及本地区和本级上一年度地方政府债券（含再融资债券）发行及还本付息额（或预计执行数）、本年度地方政府债券还本付息预算数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（二）随同调整预算公开当年本地区及本级地方政府债务限额、本级新增地方政府债券资金使用安排等。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（三）随同决算公开上年末本地区、本级及所属地区地方政府债务限额、余额决算数，地方政府债券发行、还本付息决算数，以及债券资金使用安排等。</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第六条【债券发行安排公开】省级财政部门应当在每月二十日前公开本地区下一月度新增地方政府债券和再融资债券发行安排，鼓励有条件的地区同时公开多个月份地方政府债券发行安排。</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第七条【新增一般债券发行公开】省级财政部门应当在新增一般债券发行前，提前5个以上工作日公开以下信息：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lastRenderedPageBreak/>
        <w:t>（一）经济社会发展指标。包括本地区国内生产总值、居民人均可支配收入等；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（二）地方政府一般公共预算情况；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（三）一般债务情况。包括本地区一般债务限额及余额、地区分布、期限结构等；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（四）拟发行一般债券信息。包括规模、期限、项目、偿债资金安排等；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（五）第三方评估材料。包括信用评级报告等；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（六）其他按规定需要公开的信息。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省级财政部门应当在新增一般债券发行后2个工作日内，公布发行债券编码、利率等信息。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第八条【新增专项债券发行公开】省级财政部门应当在新增专项债券发行前，提前5个以上工作日公开以下信息：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（一）经济社会发展指标。包括本地区国内生产总值、居民人均可支配收入等；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（二）地方政府性基金预算情况。包括本地区、本级或使用专项债券资金的市县级政府地方政府性基金收支、拟发行专项债券对应的地方政府性基金预算收支情况；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lastRenderedPageBreak/>
        <w:t>（三）专项债务情况。包括本地区专项债务限额及余额、地区分布、期限结构等；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（四）拟发行专项债券信息。包括规模、期限及偿还方式等基本信息；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（五）拟发行专项债券对应项目信息。包括项目概况、分年度投资计划、项目资金来源、预期收益和融资平衡方案、潜在风险评估、主管部门责任等；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（六）第三方评估信息。包括财务评估报告（重点是项目预期收益和融资平衡情况评估）、法律意见书、信用评级报告等；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（七）其他按规定需要公开的信息。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省级财政部门应当在新增专项债券发行后2个工作日内，公布发行债券编码、利率等信息。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第九条【再融资债券发行公开】省级财政部门应当在再融资债券发行前，提前5个以上工作日公开再融资债券发行规模以及原债券名称、代码、发行规模、到期本金规模等信息。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第十条【一般债券存续期公开】地方各级财政部门应当组织开展本地区和本级一般债券存续期信息公开工作，督促和指导使用一般债券资金的部门不迟于每年6月底前公开以下信息：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（一）截至上年末一般债券资金余额、利率、期限、地区分布等情况；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lastRenderedPageBreak/>
        <w:t>（二）截至上年末一般债券资金使用情况；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（三）截至上年末一般债券项目建设进度、运营情况等；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（四）其他按规定需要公开的信息。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第十一条【专项债券存续期公开】地方各级财政部门应当组织开展本地区和本级专项债券存续期信息公开工作，督促和指导使用专项债券资金的部门不迟于每年6月底前公开以下信息：</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（一）截至上年末专项债券资金使用情况；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（二）截至上年末专项债券对应项目建设进度、运营情况等；</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（三）截至上年末专项债券项目收益及对应形成的资产情况；</w:t>
      </w:r>
    </w:p>
    <w:p w:rsidR="00DE78F2" w:rsidRPr="00DE78F2" w:rsidRDefault="00DE78F2" w:rsidP="00DE78F2">
      <w:pPr>
        <w:widowControl/>
        <w:shd w:val="clear" w:color="auto" w:fill="FFFFFF"/>
        <w:spacing w:before="225"/>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（四）其他按规定需要公开的信息。</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第十二条【违法违规情形公开】涉及违法违规举债担保行为问责的，各级财政部门应当在收到问责决定后20个工作日内公开问责结果。</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三条【一般债券重大事项公开】一般债券存续期内，发生可能影响使用一般债券资金地区的一般公共预算收入的重大事项的，财政部门应当按照《国务院办公厅关于印发地方政府性债务风险应急处置预案的通知》（国办函〔2016〕88号）等有关规定提出具体补救措施，经本级政府批准后向省级财政部门报告，并由省级财政部门公告或以适当方式告知一般债券持有人。</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第十四条【专项债券重大事项公开】专项债券存续期内，对应项目发生可能影响其收益与融资平衡能力的重大事项的，专项债券资金使用</w:t>
      </w:r>
      <w:r w:rsidRPr="00DE78F2">
        <w:rPr>
          <w:rFonts w:ascii="微软雅黑" w:eastAsia="微软雅黑" w:hAnsi="微软雅黑" w:cs="宋体" w:hint="eastAsia"/>
          <w:color w:val="333333"/>
          <w:kern w:val="0"/>
          <w:sz w:val="27"/>
          <w:szCs w:val="27"/>
        </w:rPr>
        <w:lastRenderedPageBreak/>
        <w:t>部门和财政部门应当按照《国务院办公厅关于印发地方政府性债务风险应急处置预案的通知》（国办函〔2016〕88号）等有关规定提出具体补救措施，经本级政府批准后向省级财政部门报告，并由省级财政部门公告或以适当方式告知专项债券持有人。</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第十五条【债券资金调整用途公开】地方政府债券存续期内确需调整债券资金用途的，按规定履行相关程序后，由省级财政部门予以公告或以适当方式告知债券持有人。</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六条【财政经济信息】地方各级财政部门在公开政府债务信息时，应当根据本级政府及其相关部门信息公开进展，一并提供本级政府工作报告、预决算报告、预算执行和其他财政收支的审计工作报告等信息或其网址备查。</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第十七条【政府债务管理制度】地方各级财政部门应当及时公开本地区政府债务管理制度规定。</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八条【职责分工】财政部负责指导、监督全国地方政府债务信息公开工作。地方各级财政部门负责组织实施本地区和本级政府债务信息公开工作，指导、监督和协调本级使用债券资金的部门和下级政府债务信息公开工作。</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第十九条【绩效评价】地方各级财政部门要将地方政府债务信息公开情况纳入地方政府债务绩效评价范围，加强绩效评价结果应用。</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第二十条【日常监督】财政部驻各省、自治区、直辖市、计划单列市财政监察专员办事处应当将地方政府债务信息公开工作纳入日常监督范围，对发现问题的予以督促整改。</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lastRenderedPageBreak/>
        <w:t>第二十一条【法律责任】对未按规定公开地方政府债务信息的，应当依照《中华人民共和国预算法》、《中华人民共和国政府信息公开条例》等法律法规的规定，责令改正，对负有直接责任的主管人员和其他直接责任人员依法依规给予处分。</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第二十二条【社会监督】公民、法人或者其他组织认为有关部门不依法履行地方政府债务信息公开义务的，可以向同级或上一级财政部门举报。财政部门收到举报后应当依法依规予以处理。</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第二十三条 省、自治区、直辖市、计划单列市财政部门可以根据本办法规定，结合本地区实际制定实施细则。</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第二十四条 中央转贷地方国际金融组织和外国政府贷款信息公开办法由财政部另行制定。</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第二十五条 本办法由财政部负责解释。</w:t>
      </w:r>
    </w:p>
    <w:p w:rsidR="00DE78F2" w:rsidRPr="00DE78F2" w:rsidRDefault="00DE78F2" w:rsidP="00DE78F2">
      <w:pPr>
        <w:widowControl/>
        <w:shd w:val="clear" w:color="auto" w:fill="FFFFFF"/>
        <w:ind w:firstLine="480"/>
        <w:jc w:val="left"/>
        <w:rPr>
          <w:rFonts w:ascii="微软雅黑" w:eastAsia="微软雅黑" w:hAnsi="微软雅黑" w:cs="宋体"/>
          <w:color w:val="333333"/>
          <w:kern w:val="0"/>
          <w:sz w:val="27"/>
          <w:szCs w:val="27"/>
        </w:rPr>
      </w:pPr>
      <w:r w:rsidRPr="00DE78F2">
        <w:rPr>
          <w:rFonts w:ascii="微软雅黑" w:eastAsia="微软雅黑" w:hAnsi="微软雅黑" w:cs="宋体" w:hint="eastAsia"/>
          <w:color w:val="333333"/>
          <w:kern w:val="0"/>
          <w:sz w:val="27"/>
          <w:szCs w:val="27"/>
        </w:rPr>
        <w:t>第二十六条 本办法自2019年1月1日起实施。</w:t>
      </w:r>
    </w:p>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DE78F2" w:rsidP="00DE78F2"/>
    <w:p w:rsidR="00DE78F2" w:rsidRDefault="00911FFE" w:rsidP="00911FFE">
      <w:pPr>
        <w:pStyle w:val="3"/>
        <w:jc w:val="center"/>
        <w:rPr>
          <w:sz w:val="30"/>
          <w:szCs w:val="30"/>
          <w:lang w:val="zh-CN"/>
        </w:rPr>
      </w:pPr>
      <w:bookmarkStart w:id="12" w:name="_Toc12864177"/>
      <w:r w:rsidRPr="00911FFE">
        <w:rPr>
          <w:rFonts w:hint="eastAsia"/>
          <w:sz w:val="30"/>
          <w:szCs w:val="30"/>
          <w:lang w:val="zh-CN"/>
        </w:rPr>
        <w:lastRenderedPageBreak/>
        <w:t>财政部关于印发《地方政府债券弹性招标发行业务规程》的通知（财库〔</w:t>
      </w:r>
      <w:r w:rsidRPr="00911FFE">
        <w:rPr>
          <w:rFonts w:hint="eastAsia"/>
          <w:sz w:val="30"/>
          <w:szCs w:val="30"/>
          <w:lang w:val="zh-CN"/>
        </w:rPr>
        <w:t>2018</w:t>
      </w:r>
      <w:r w:rsidRPr="00911FFE">
        <w:rPr>
          <w:rFonts w:hint="eastAsia"/>
          <w:sz w:val="30"/>
          <w:szCs w:val="30"/>
          <w:lang w:val="zh-CN"/>
        </w:rPr>
        <w:t>〕</w:t>
      </w:r>
      <w:r w:rsidRPr="00911FFE">
        <w:rPr>
          <w:rFonts w:hint="eastAsia"/>
          <w:sz w:val="30"/>
          <w:szCs w:val="30"/>
          <w:lang w:val="zh-CN"/>
        </w:rPr>
        <w:t>74</w:t>
      </w:r>
      <w:r w:rsidRPr="00911FFE">
        <w:rPr>
          <w:rFonts w:hint="eastAsia"/>
          <w:sz w:val="30"/>
          <w:szCs w:val="30"/>
          <w:lang w:val="zh-CN"/>
        </w:rPr>
        <w:t>号）</w:t>
      </w:r>
      <w:bookmarkEnd w:id="12"/>
    </w:p>
    <w:p w:rsidR="00911FFE" w:rsidRPr="00911FFE" w:rsidRDefault="00911FFE" w:rsidP="00911FFE">
      <w:pPr>
        <w:widowControl/>
        <w:spacing w:before="450" w:line="540"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各省、自治区、直辖市、计划单列市财政厅（局），新疆生产建设兵团财政局，中央国债登记结算有限责任公司、中国证券登记结算有限责任公司、上海证券交易所、深圳证券交易所，有关金融机构：</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为进一步完善地方政府债券发行机制，保障地方政府债券发行工作顺利开展，防范地方政府债券发行风险，财政部决定实行地方政府债券弹性招标制度。根据地方政府债券发行管理有关规定，我们制定了《地方政府债券弹性招标发行业务规程》。现予印发，请参照执行。</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附件：地方政府债券弹性招标发行业务规程</w:t>
      </w:r>
    </w:p>
    <w:p w:rsidR="00911FFE" w:rsidRPr="00911FFE" w:rsidRDefault="00911FFE" w:rsidP="00911FFE">
      <w:pPr>
        <w:widowControl/>
        <w:spacing w:before="450" w:line="540" w:lineRule="atLeast"/>
        <w:ind w:firstLine="480"/>
        <w:jc w:val="righ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财 政 部</w:t>
      </w:r>
    </w:p>
    <w:p w:rsidR="00911FFE" w:rsidRPr="00911FFE" w:rsidRDefault="00911FFE" w:rsidP="00911FFE">
      <w:pPr>
        <w:widowControl/>
        <w:spacing w:before="450" w:line="540" w:lineRule="atLeast"/>
        <w:ind w:firstLine="480"/>
        <w:jc w:val="righ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2018年8月14日</w:t>
      </w:r>
    </w:p>
    <w:p w:rsidR="00911FFE" w:rsidRPr="00911FFE" w:rsidRDefault="00911FFE" w:rsidP="00911FFE">
      <w:pPr>
        <w:widowControl/>
        <w:spacing w:before="450" w:line="540" w:lineRule="atLeast"/>
        <w:ind w:firstLine="480"/>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地方政府债券弹性招标发行业务规程</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第一条 为进一步完善地方政府债券发行机制，保障地方政府债券发行工作顺利开展，防范地方政府债券发行风险，根据地方政府债券发行管理有关规定，制定本规程。</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第二条 地方政府债券弹性招标，是指各省（自治区、直辖市、计划单列市）财政部门（以下简称地方财政部门）预先设定计划发行额区间，依据投标倍数等因素确定最终实际发行量的招标发行方式。</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第三条 采用弹性招标方式发行地方政府债券，适用本规程。地方政府一般债券、专项债券（含项目收益与融资自求平衡的专项债券），可采用弹性招标方式发行。</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第四条 弹性招标，由地方财政部门通过财政部政府债券发行系统、财政部上海证券交易所政府债券发行系统、财政部深圳证券交易所政府债券发行系统面向地方政府债券承销团(以下简称承销团)成员开展，原则上采用单一价格招标方式，招标标的为利率或价格。</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第五条 地方政府债券采用弹性招标方式发行，应当遵循“公开、公平、公正”原则，根据地方政府债券发行管理规定及本规程要求，通过市场化方式开展。</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第六条 地方财政部门应当按照地方政府债券发行管理有关规定，在与承销团成员充分沟通的基础上，科学制定地方政府债券弹性招标发行规则等制度办法，合理设定投标比例、承销比例等技术参数，其中，最低投标、承销比例等应当基于计划发行额区间上限进行设定。</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第七条 计划发行额区间下限不得低于上限的80%。地方财政部门应当根据地方政府债券发行计划，合理设置单期债券计划发行额区间，并在当期债券发行文件中予以披露。</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第八条 弹性招标发行时，实际发行量应当为计划发行额区间上限、下限或有效投标量，以计划发行额区间上限计算投标倍数（以下简称投标倍数）。投标倍数超过1.1倍时，当期债券实际发行量为计划发行额区间上限; 投标倍数不足1倍时，当期债券实际发行量按照有效投标量和计划发行额区间下限孰低原则确定；投标倍数在1至1.1倍（含1和1.1倍）之间的，实际发行量确定规则由各地方财政部门自行选择计划发行额区间上限或者下限进行确定，并在招标规则中事先明确。</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第九条 确定实际发行量后，按照低利率或高价格优先的原则对有效投标逐笔募入，募满计划发行额区间上限（或下限），或将全部有效标位募完为止。招标标的为利率时，全场最高中标利率为当期债券票面利率，各中标承销团成员按面值承销；标的为价格时，全场最低中标价格为当期债券发行价格，各中标承销团成员按发行价格承销。</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第十条 最高中标利率（最低中标价格）标位中标数量以各承销团成员在此标位投标量为权重进行分配，最小中标单位为最小投标量变动幅度，分配后仍有尾数时，按投标时间优先原则分配。</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第十一条 地方财政部门应当不迟于招标发行前5个工作日披露当期政府债券是否采用弹性招标方式，招标发行当日及时披露当期政府债券的实际发行量和发行利率等相关信息。</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第十二条 对于采用弹性招标发行的地方政府债券，各地方财政部门应当做好债券资金对应项目的信息披露工作。招标发行前，地方财政部门应分别按照计划发行额区间上下限披露项目信息，明确项目使用资金的顺序，或按照计划发行额区间上限披露项目信息，但实际发行量不是计划发行额区间上限时，各地方财政部门应当在招标发行后及时补充披露计划使用资金的项目信息。对于项目收益与融资自求平衡的专项债券，按计划发行额区间上下限披露的项目信息，都应当符合项目收益和融资自求平衡的要求。</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第十三条 招标发行现场管理及应急投标、缴款、债权登记、托管、债券分销、上市等其他相关事宜，按照财政部地方政府债券发行管理有关规定执行。</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第十四条 中央国债登记结算有限责任公司、上海证券交易所、深圳证券交易所应当按照本规程在地方政府债券发行系统中增加弹性招标功能，向财政部报备后开展采用弹性招标方式发行地方政府债券相关服务工作。</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第十五条 本规程由财政部负责解释。</w:t>
      </w:r>
    </w:p>
    <w:p w:rsidR="00911FFE" w:rsidRPr="00911FFE" w:rsidRDefault="00911FFE" w:rsidP="00911FFE">
      <w:pPr>
        <w:widowControl/>
        <w:spacing w:before="450" w:line="540" w:lineRule="atLeast"/>
        <w:ind w:firstLine="480"/>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第十六条 本规程自发布之日起施行。</w:t>
      </w:r>
    </w:p>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Pr>
        <w:pStyle w:val="3"/>
        <w:jc w:val="center"/>
        <w:rPr>
          <w:sz w:val="30"/>
          <w:szCs w:val="30"/>
          <w:lang w:val="zh-CN"/>
        </w:rPr>
      </w:pPr>
      <w:bookmarkStart w:id="13" w:name="_Toc12864178"/>
      <w:r w:rsidRPr="00911FFE">
        <w:rPr>
          <w:rFonts w:hint="eastAsia"/>
          <w:sz w:val="30"/>
          <w:szCs w:val="30"/>
          <w:lang w:val="zh-CN"/>
        </w:rPr>
        <w:lastRenderedPageBreak/>
        <w:t>财政部关于印发《地方政府债券公开承销发行业务规程》的通知（财库〔</w:t>
      </w:r>
      <w:r w:rsidRPr="00911FFE">
        <w:rPr>
          <w:rFonts w:hint="eastAsia"/>
          <w:sz w:val="30"/>
          <w:szCs w:val="30"/>
          <w:lang w:val="zh-CN"/>
        </w:rPr>
        <w:t>2018</w:t>
      </w:r>
      <w:r w:rsidRPr="00911FFE">
        <w:rPr>
          <w:rFonts w:hint="eastAsia"/>
          <w:sz w:val="30"/>
          <w:szCs w:val="30"/>
          <w:lang w:val="zh-CN"/>
        </w:rPr>
        <w:t>〕</w:t>
      </w:r>
      <w:r w:rsidRPr="00911FFE">
        <w:rPr>
          <w:rFonts w:hint="eastAsia"/>
          <w:sz w:val="30"/>
          <w:szCs w:val="30"/>
          <w:lang w:val="zh-CN"/>
        </w:rPr>
        <w:t>68</w:t>
      </w:r>
      <w:r w:rsidRPr="00911FFE">
        <w:rPr>
          <w:rFonts w:hint="eastAsia"/>
          <w:sz w:val="30"/>
          <w:szCs w:val="30"/>
          <w:lang w:val="zh-CN"/>
        </w:rPr>
        <w:t>号）</w:t>
      </w:r>
      <w:bookmarkEnd w:id="13"/>
    </w:p>
    <w:p w:rsidR="00911FFE" w:rsidRPr="00911FFE" w:rsidRDefault="00911FFE" w:rsidP="00911FFE">
      <w:pPr>
        <w:widowControl/>
        <w:shd w:val="clear" w:color="auto" w:fill="FFFFFF"/>
        <w:spacing w:line="480" w:lineRule="auto"/>
        <w:ind w:firstLine="480"/>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各省、自治区、直辖市、计划单列市财政厅（局），新疆生产建设兵团财政局，中央国债登记结算有限责任公司、中国证券登记结算有限责任公司、上海证券交易所、深圳证券交易所，有关金融机构：</w:t>
      </w:r>
    </w:p>
    <w:p w:rsidR="00911FFE" w:rsidRPr="00911FFE" w:rsidRDefault="00911FFE" w:rsidP="00911FFE">
      <w:pPr>
        <w:widowControl/>
        <w:shd w:val="clear" w:color="auto" w:fill="FFFFFF"/>
        <w:spacing w:line="480" w:lineRule="auto"/>
        <w:ind w:firstLine="480"/>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为进一步完善地方政府债券发行方式，提高债券发行效率，财政部决定实行地方政府债券公开承销制度。根据地方政府债券发行管理有关规定，我们制定了《地方政府债券公开承销发行业务规程》。现予印发，请参照执行。</w:t>
      </w:r>
    </w:p>
    <w:p w:rsidR="00911FFE" w:rsidRPr="00911FFE" w:rsidRDefault="00911FFE" w:rsidP="00911FFE">
      <w:pPr>
        <w:widowControl/>
        <w:shd w:val="clear" w:color="auto" w:fill="FFFFFF"/>
        <w:spacing w:line="480" w:lineRule="auto"/>
        <w:ind w:firstLine="480"/>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附件：《地方政府债券公开承销发行业务规程》</w:t>
      </w:r>
    </w:p>
    <w:p w:rsidR="00911FFE" w:rsidRPr="00911FFE" w:rsidRDefault="00911FFE" w:rsidP="00911FFE">
      <w:pPr>
        <w:widowControl/>
        <w:shd w:val="clear" w:color="auto" w:fill="FFFFFF"/>
        <w:spacing w:line="480" w:lineRule="auto"/>
        <w:ind w:firstLine="480"/>
        <w:jc w:val="righ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财政部</w:t>
      </w:r>
    </w:p>
    <w:p w:rsidR="00911FFE" w:rsidRPr="00911FFE" w:rsidRDefault="00911FFE" w:rsidP="00911FFE">
      <w:pPr>
        <w:widowControl/>
        <w:shd w:val="clear" w:color="auto" w:fill="FFFFFF"/>
        <w:spacing w:line="480" w:lineRule="auto"/>
        <w:ind w:firstLine="480"/>
        <w:jc w:val="righ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2018年7月30日</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地方政府债券公开承销发行业务规程</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第一章  总则</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第一条  为规范地方政府债券公开承销发行业务，保障地方政府债券发行工作顺利开展，根据地方政府债券发行管理有关规定，制定本规程。</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第二条  本规程所称地方政府债券公开承销，是指各省（自治区、直辖市、计划单列市）财政部门（以下简称地方财政部门）与主承销商协商确定利率（价格）区间后，由簿记管理人组织承销团成员发送申购利率（价格）和数量意愿，按事先确定的定价和配售规则确定最终发行利率（价格）并进行配售的行为。</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第三条  公开承销，适用于公开发行规模较小的地方政府债券，包括一般债券、专项债券（含项目收益与融资自求平衡的专项债券）。采用公开承销方式发行地方政府债券，适用本规程。</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第四条  地方政府债券公开承销通过财政部政府债券发行系统、财政部上海证券交易所政府债券发行系统、财政部深圳证券交易所政府债券发行系统（以下统称发行系统）开展。</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第五条  地方政府债券公开承销应当遵循公开、公平、公正原则，严格遵守地方政府债券发行管理有关规定，严禁恶意影响发行利率、进行不正当利益输送等破坏市场秩序的行为。</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第二章  公开承销参与方</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第六条  地方政府债券公开承销参与方包括地方财政部门、承销团成员及其他意向投资机构、业务技术支持部门、中介机构等。其中承销团成员包括簿记管理人、除簿记管理人外的主承销商和其他承销团成员。</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第七条  地方财政部门可以就地方政府债券公开承销专门组建承销团，也可以沿用公开招标方式下的承销团。专门组建承销团的，可以就单期债券发行组建承销团，也可以就一段时间内债券发行组建承销团，承销团成员原则上不少于4家。地方财政部门组建承销团时应当与承销团成员签署相关协议，明确各方权利义务。</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第八条  簿记管理人是受地方财政部门委托，负责地方政府债券公开承销组织操作的主承销商。</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第九条  地方财政部门、簿记管理人应当在充分询价的基础上，综合考虑询价情况、筹资成本预期等因素，与其他主承销商协商确定地方政府</w:t>
      </w:r>
      <w:r w:rsidRPr="00911FFE">
        <w:rPr>
          <w:rFonts w:ascii="微软雅黑" w:eastAsia="微软雅黑" w:hAnsi="微软雅黑" w:cs="宋体" w:hint="eastAsia"/>
          <w:color w:val="333333"/>
          <w:kern w:val="0"/>
          <w:sz w:val="27"/>
          <w:szCs w:val="27"/>
        </w:rPr>
        <w:lastRenderedPageBreak/>
        <w:t>债券公开承销安排及申购利率（价格）区间。公开承销的申购利率区间下限不得低于申购前1至5个工作日（含第1和第5个工作日）中国债券信息网公布的中债国债收益率曲线中相同待偿期国债收益率算术平均值，公开承销的申购价格区间上限不得高于申购前1至5个工作日（含第1和第5个工作日）中国债券信息网公布的中债国债收益率曲线中相同待偿期国债收益率算术平均值计算的、原地方政府债券在缴款日的含息价格。簿记管理人应当履行以下职责：</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（一）与地方财政部门协商地方政府债券公开承销时间安排和详细方案；</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（二）在向承销团成员充分询价的基础上，组织其他主承销商与地方财政部门协商确定公开承销利率（价格）区间；</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（三）记录承销团成员申购地方政府债券的利率（价格）及数量意愿，按照本规程等相关制度规定进行地方政府债券的定价和配售；</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（四）组织公开承销工作，维护发行现场秩序，确保公开承销工作顺利进行；</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（五）对公开承销过程中各项重要事项的决策过程进行记录和说明，并妥善保存公开承销流程各个环节的相关文件和资料；</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（六）协助地方财政部门按照相关规定开展信息披露工作；</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（七）开展财政部规定或地方财政部门委托的与公开承销相关的其他工作。</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第十条  除簿记管理人外的其他主承销商，应当本着勤勉尽责的原则向除承销团成员外的其他意向投资者进行询价，与地方财政部门协商确定公开承销利率（价格）区间，并参与地方政府债券申购、配售、分销、</w:t>
      </w:r>
      <w:r w:rsidRPr="00911FFE">
        <w:rPr>
          <w:rFonts w:ascii="微软雅黑" w:eastAsia="微软雅黑" w:hAnsi="微软雅黑" w:cs="宋体" w:hint="eastAsia"/>
          <w:color w:val="333333"/>
          <w:kern w:val="0"/>
          <w:sz w:val="27"/>
          <w:szCs w:val="27"/>
        </w:rPr>
        <w:lastRenderedPageBreak/>
        <w:t>缴款工作；除主承销商外的其他承销团成员，应当按照公开承销安排和相关协议约定，参与公开承销的询价、申购、配售、分销、缴款工作；除承销团成员外的其他意向投资者，可以委托除簿记管理人外的其他承销团成员代为参与公开承销申购。簿记管理人、主承销商等担任询价工作的承销团成员应当按照市场化原则参与地方政府债券公开承销，严禁通过“串标”等方式进行价格操纵，扰乱市场秩序。</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第十一条     承销团成员可以进行自营申购或代意向投资者申购，承销团成员之间不得互相代为申购。</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第十二条     簿记管理人原则上不得参与公开承销竞争性申购，地方财政部门可以在承销协议中与簿记管理人约定固定承销额，每期债券的固定承销额不再参与本期债券的公开承销利率（价格）确定。簿记管理人应当根据法律法规和本规程规定，指定本单位地方政府债券公开承销簿记建档业务的具体牵头部门。</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第十三条     簿记管理人应当将簿记业务和投资交易业务进行分离，并建立健全内部控制制度，防范利益冲突和潜在风险。</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第十四条     地方财政部门应当与承销团成员商定合理的发行手续费标准，可以对簿记管理人和其他承销团成员分别设置不同的手续费标准。</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第三章  公开承销流程</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第十五条     公开承销前，簿记管理人应当向所有承销团成员询价，并明确记录询价情况。</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第十六条     公开承销前，簿记管理人应当督促和协助地方财政部门，不迟于公开承销前5个工作日，在本单位门户网站、中国债券信息网以</w:t>
      </w:r>
      <w:r w:rsidRPr="00911FFE">
        <w:rPr>
          <w:rFonts w:ascii="微软雅黑" w:eastAsia="微软雅黑" w:hAnsi="微软雅黑" w:cs="宋体" w:hint="eastAsia"/>
          <w:color w:val="333333"/>
          <w:kern w:val="0"/>
          <w:sz w:val="27"/>
          <w:szCs w:val="27"/>
        </w:rPr>
        <w:lastRenderedPageBreak/>
        <w:t>及相关业务技术支持部门网站披露发行通知、信用评级报告等文件，发行通知应当明确公开承销流程、利率（价格）区间、发行利率（价格）确定原则、配售规则、发行系统等相关安排。地方财政部门应当制定地方政府债券公开承销发行规则，并于首次公开承销前进行披露。</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第十七条     除簿记管理人外的其他承销团成员，应当根据本机构及其他意向投资者的申购需求，在规定的竞争性承销时间内，通过发行系统发送申购意向函。</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第十八条     公开承销按照低利率或高价格优先的原则对有效申购逐笔募入，直至募满计划发行量或将全部有效申购募完为止。申购标的为利率时，全场最高配售利率为当期债券的票面利率，各获配承销团成员按面值承销；申购标的为价格时，全场最低配售价格为当期债券的票面价格，各获配承销团成员按票面价格承销。最高配售利率（最低配售价格）标位配售数量以各承销团成员在此标位申购量为权重进行分配，最小承销单位为申购量的最小变动幅度，分配后仍有尾数时，按申购时间优先原则分配。</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第十九条     公开承销地方政府债券时，可以在承销协议中约定采取包销方式，即在申购截止时间后有效申购额或缴款额不足计划发行额时，不足部分按承销协议约定，由全部或部分承销团成员按票面利率（价格）认购。</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第二十条     公开承销地方债券的缴款日为发行日（T日）后第一个工作日（即T+1日），承销团成员不迟于缴款日将发行款缴入发行文件</w:t>
      </w:r>
      <w:r w:rsidRPr="00911FFE">
        <w:rPr>
          <w:rFonts w:ascii="微软雅黑" w:eastAsia="微软雅黑" w:hAnsi="微软雅黑" w:cs="宋体" w:hint="eastAsia"/>
          <w:color w:val="333333"/>
          <w:kern w:val="0"/>
          <w:sz w:val="27"/>
          <w:szCs w:val="27"/>
        </w:rPr>
        <w:lastRenderedPageBreak/>
        <w:t>中规定的国家金库××省（自治区、直辖市、计划单列市）分库对应账户。地方债券上市日为发行日后第三个工作日（即T+3日）</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第二十一条       公开承销结束后，簿记管理人应当协助地方财政部门，于公开承销当日向市场公开披露承销结果。缴款截止日后，因未及时、足额缴款等导致发行结果出现变化的，地方财政部门应当在上市日前向市场公开披露公开承销的最终结果。</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第二十二条       簿记管理人应当制定公开承销的应急处置预案，做好应急处置相关工作。公开承销开始前，如出现可能对地方政府债券发行产生重大影响的政策调整，或有确定证据表明利率（价格）区间与市场存在严重偏差等情况的，簿记管理人及其他主承销商、地方财政部门经协商一致后可以推迟发行或调整利率（价格）区间，并将推迟发行或调整利率（价格）区间事项及相关理由、证据及时披露，同时向财政部报告。公开承销过程中，如出现人为操作失误、系统故障、缴款违约等情况，导致可能影响正常发行及上市的，地方财政部门及簿记管理人应当按照事先确定的应急预案做好应急处置相关工作，及时披露，同时向财政部报告。</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第四章 公开承销现场管理</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第二十三条       公开承销现场人员包括发行人员、簿记管理人、监督员、观察员、支持人员等。发行人员由地方财政部门派出；监督员由发债地区审计、监察等非财政部门派出；观察员由财政部国库司或财政部国库司委托发债地区当地财政监察专员办事处派出；支持人员由财政部授权的业务技术支持部门派出。</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第二十四条       发行现场人员应当各司其责。簿记管理人应当在发行前发送核对无误的申购要约并负责组织发行现场各项工作。监督员负责监督发行现场相关工作合规有序进行，并督促发行人员和簿记管理人做好发行现场人员身份核实与出入登记、通讯设备存放、信息保密、现场隔离、无线电屏蔽等工作。支持人员负责协助办理发行现场出入登记、存放手机等通讯设备、进行必要的无线电屏蔽等，并保障发行系统及发行现场设备正常运行。</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第二十五条       省级财政部门应当按照相关规定，不迟于发行日前2个工作日，将进入发行现场的人员名单提供给业务技术支持部门并抄送财政部。人员名单上未列示人员原则上不得进入发行现场。</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第二十六条       发行人员、簿记管理人、监督员、观察员应当于发行开始前在值守区履行登记手续，记录本人姓名和进入时间，并在进入操作区或观摩区时再分别履行登记手续。发行现场人员在一个工作日内参与多场次地方政府债券发行时，在不同场次开始前应当重新履行登记手续。竞争性承销期间，所有进入发行现场的人员原则上不得离开发行现场，如因身体严重不适等特殊原因必须临时离开发行现场的，必须由监督员或观察员中1人全程陪同。业务技术支持部门应在发行过程中安排人员在操作区和观摩区附近值守。</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第二十七条       发行人员或簿记管理人于非发行时间操作发行系统，应当履行登记手续，登记姓名、出入时间、所属单位和出入事由，簿记管理人还应当提供省级财政部门出具的授权书。</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第二十八条       发行现场应当配备能满足地方政府债券发行需要的专用固定电话、应急申购传真机、专用打印机等设备，其中专用固定电话应当实行通话录音。</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第二十九条       发行现场人员不得携带任何有通讯功能的设备进入发行现场。发行开始前，发行现场人员应当将随身携带的手机等有通讯功能的设备存放于值守区的专用保管箱,业务技术支持部门应当登记手机等通讯设备存放情况。发行现场人员在一个工作日内参与多场次地方政府债券发行时，如在不同场次之间取用和存放手机等设备，业务技术支持部门应当登记相关存取情况。</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第三十条     公开承销现场人员与外界沟通相关事项应当全部通过簿记场所配置的专用录音电话进行，监督员、观察员应当监督通讯工具的使用，并由簿记管理人做好记录及说明。</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第三十一条       发行现场人员不得在地方政府债券发行过程中对外泄露申购量、申购利率等可能影响地方政府债券公平公正发行的信息，不得将簿记相关文档带出发行现场或以影印、复印等形式对外提供。</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第三十二条       若申购截止时间后申购总量未达到计划发行额，簿记管理人应当按照承销协议中的相关条款进行处置。如承销协议中设置了包销条款，不足部分直接由承销团成员包销；如协议中未设置包销条款，簿记管理人在与发行人员负责人、观察员、监督员协商一致的前提下，可以将簿记建档发行时间延长不超过一小时或者择期重新发行，并使用专用固定电话或委托业务技术支持部门通知承销团成员相关信息。</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lastRenderedPageBreak/>
        <w:t>第三十三条       地方政府债券发行过程中，如发行系统客户端出现技术问题，承销团成员可以通过发送传真的方式，将应急申购意向函发送至相应的发行室进行应急操作，并及时拨打发行现场专用固定电话向发行人员或簿记管理人报告。</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第三十四条       出现应急操作情况时，支持人员应当按规定履行登记手续，同时不得携带任何有通讯功能的设备进入发行现场。支持人员应当如实填写应急申购情况记录表，记录收到应急申购意向函的时间等有关内容，并在密押核验通过后签字确认。簿记管理人应当审核应急申购意向函收到的时间是否在申购截止时间前，投资者是否按规定格式填写，是否字迹清晰、意思明确。应急申购意向函经簿记管理人确认各项要素有效完整，并经簿记管理人和监督员共同签字确认后，由簿记管理人将应急申购信息录入发行系统。对未按规定格式填写、字迹不清晰、意思不明确、密押核对不符或超过截止时间后收到的应急申购意向函，均做无效处理。</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第三十五条       发行结果须经簿记管理人、监督员共同签字确认后生效。监督员如发现发行现场出现违规行为并制止无效的，有权拒绝在发行结果上签字。发行现场如发生本规程规定情形之外的其他情况，由发行人员或簿记管理人与监督员、观察员协商一致后进行处理，并在发行结束后及时向财政部进行报告。</w:t>
      </w:r>
    </w:p>
    <w:p w:rsidR="00911FFE" w:rsidRPr="00911FFE" w:rsidRDefault="00911FFE" w:rsidP="00911FFE">
      <w:pPr>
        <w:widowControl/>
        <w:shd w:val="clear" w:color="auto" w:fill="FFFFFF"/>
        <w:jc w:val="center"/>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第五章  附则</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第三十六条       本规程由财政部负责解释。</w:t>
      </w:r>
    </w:p>
    <w:p w:rsidR="00911FFE" w:rsidRPr="00911FFE" w:rsidRDefault="00911FFE" w:rsidP="00911FFE">
      <w:pPr>
        <w:widowControl/>
        <w:shd w:val="clear" w:color="auto" w:fill="FFFFFF"/>
        <w:jc w:val="left"/>
        <w:rPr>
          <w:rFonts w:ascii="微软雅黑" w:eastAsia="微软雅黑" w:hAnsi="微软雅黑" w:cs="宋体"/>
          <w:color w:val="333333"/>
          <w:kern w:val="0"/>
          <w:sz w:val="27"/>
          <w:szCs w:val="27"/>
        </w:rPr>
      </w:pPr>
      <w:r w:rsidRPr="00911FFE">
        <w:rPr>
          <w:rFonts w:ascii="微软雅黑" w:eastAsia="微软雅黑" w:hAnsi="微软雅黑" w:cs="宋体" w:hint="eastAsia"/>
          <w:color w:val="333333"/>
          <w:kern w:val="0"/>
          <w:sz w:val="27"/>
          <w:szCs w:val="27"/>
        </w:rPr>
        <w:t>第三十七条       本规程自发布之日起施行。</w:t>
      </w:r>
    </w:p>
    <w:p w:rsidR="00911FFE" w:rsidRDefault="00911FFE" w:rsidP="00911FFE">
      <w:pPr>
        <w:pStyle w:val="3"/>
        <w:jc w:val="center"/>
        <w:rPr>
          <w:sz w:val="30"/>
          <w:szCs w:val="30"/>
          <w:lang w:val="zh-CN"/>
        </w:rPr>
      </w:pPr>
      <w:bookmarkStart w:id="14" w:name="_Toc12864179"/>
      <w:r w:rsidRPr="00911FFE">
        <w:rPr>
          <w:rFonts w:hint="eastAsia"/>
          <w:sz w:val="30"/>
          <w:szCs w:val="30"/>
          <w:lang w:val="zh-CN"/>
        </w:rPr>
        <w:lastRenderedPageBreak/>
        <w:t>财政部</w:t>
      </w:r>
      <w:r w:rsidRPr="00911FFE">
        <w:rPr>
          <w:rFonts w:hint="eastAsia"/>
          <w:sz w:val="30"/>
          <w:szCs w:val="30"/>
          <w:lang w:val="zh-CN"/>
        </w:rPr>
        <w:t xml:space="preserve"> </w:t>
      </w:r>
      <w:r w:rsidRPr="00911FFE">
        <w:rPr>
          <w:rFonts w:hint="eastAsia"/>
          <w:sz w:val="30"/>
          <w:szCs w:val="30"/>
          <w:lang w:val="zh-CN"/>
        </w:rPr>
        <w:t>住房城乡建设部关于印发《试点发行地方政府棚户区改造专项债券管理办法》的通知（财预〔</w:t>
      </w:r>
      <w:r w:rsidRPr="00911FFE">
        <w:rPr>
          <w:rFonts w:hint="eastAsia"/>
          <w:sz w:val="30"/>
          <w:szCs w:val="30"/>
          <w:lang w:val="zh-CN"/>
        </w:rPr>
        <w:t>2018</w:t>
      </w:r>
      <w:r w:rsidRPr="00911FFE">
        <w:rPr>
          <w:rFonts w:hint="eastAsia"/>
          <w:sz w:val="30"/>
          <w:szCs w:val="30"/>
          <w:lang w:val="zh-CN"/>
        </w:rPr>
        <w:t>〕</w:t>
      </w:r>
      <w:r w:rsidRPr="00911FFE">
        <w:rPr>
          <w:rFonts w:hint="eastAsia"/>
          <w:sz w:val="30"/>
          <w:szCs w:val="30"/>
          <w:lang w:val="zh-CN"/>
        </w:rPr>
        <w:t>28</w:t>
      </w:r>
      <w:r w:rsidRPr="00911FFE">
        <w:rPr>
          <w:rFonts w:hint="eastAsia"/>
          <w:sz w:val="30"/>
          <w:szCs w:val="30"/>
          <w:lang w:val="zh-CN"/>
        </w:rPr>
        <w:t>号）</w:t>
      </w:r>
      <w:bookmarkEnd w:id="14"/>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各省、自治区、直辖市、计划单列市财政厅（局），住房城乡建设厅（局、委）：</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按照党中央、国务院有关精神和要求，根据《中华人民共和国预算法》《国务院关于加强地方政府性债务管理的意见》（国发〔2014〕43号）等有关规定，为完善地方政府专项债券管理，规范棚户区改造融资行为，坚决遏制地方政府隐性债务增量，2018年在棚户区改造领域开展试点，有序推进试点发行地方政府棚户区改造专项债券工作，探索建立棚户区改造专项债券与项目资产、收益相对应的制度，发挥政府规范适度举债改善群众住房条件的积极作用，我们研究制订了《试点发行地方政府棚户区改造专项债券管理办法》。现予以印发，请遵照执行。</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附件：试点发行地方政府棚户区改造专项债券管理办法</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抄送：各省、自治区、直辖市、计划单列市人民政府，国务院办公厅、国土资源部、农业部、国家林业局、证监会，财政部驻各省、自治区、直辖市、计划单列市财政监察专员办事处，中国银行间市场交易商协会，中央国债登记结算有限责任公司，中国证券登记结算有限责任公司，上海证券交易所，深圳证券交易所。</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附件：</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试点发行地方政府棚户区改造专项债券管理办法</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第一章 总则</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第一条 为完善地方政府专项债券管理，规范棚户区改造融资行为,坚决遏制地方政府隐性债务增量，有序推进试点发行地方政府棚户区改造专项债券工作，探索建立棚户区改造专项债券与项目资产、收益相对应的制度，发挥政府规范适度举债改善群众住房条件的积极作用，根据《中华人民共和国预算法》、《国务院关于加强地方政府性债务管理的意见》（国发〔2014〕43号）等有关规定，制订本办法。</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第二条 本办法所称棚户区改造，是指纳入国家棚户区改造计划，依法实施棚户区征收拆迁、居民补偿安置以及相应的腾空土地开发利用等的系统性工程，包括城镇棚户区（含城中村、城市危房）、国有工矿（含煤矿）棚户区、国有林区（场）棚户区和危旧房、国有垦区危房改造项目等。</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第三条 本办法所称地方政府棚户区改造专项债券（以下简称棚改专项债券）是地方政府专项债券的一个品种，是指遵循自愿原则、纳入试点的地方政府为推进棚户区改造发行，以项目对应并纳入政府性基金预算管理的国有土地使用权出让收入、专项收入偿还的地方政府专项债券。</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前款所称专项收入包括属于政府的棚改项目配套商业设施销售、租赁收入以及其他收入。</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第四条 试点期间地方政府为棚户区改造举借、使用、偿还专项债务适用本办法。</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第五条 省、自治区、直辖市政府（以下简称省级政府）为棚改专项债券的发行主体。试点期间设区的市、自治州，县、自治县、不设区的市、市辖区级政府（以下简称市县级政府）确需棚改专项债券的，由其省级政府统一发行并转贷给市县级政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经省政府批准，计划单列市政府可以自办发行棚改专项债券。</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第六条 试点发行棚改专项债券的棚户区改造项目应当有稳定的预期偿债资金来源，对应的纳入政府性基金的国有土地使用权出让收入、专项收入应当能够保障偿还债券本金和利息，实现项目收益和融资自求平衡。</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第七条 棚改专项债券纳入地方政府专项债务限额管理。棚改专项债券收入、支出、还本、付息、发行费用等纳入政府性基金预算管理。</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第八条 棚改专项债券资金由财政部门纳入政府性基金预算管理，并由本级棚改主管部门专项用于棚户区改造，严禁用于棚户区改造以外的项目，任何单位和个人不得截留、挤占和挪用，不得用于经常性支出。</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本级棚改主管部门是指各级住房城乡建设部门以及市县级政府确定的棚改主管部门。</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第二章 额度管理</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第九条 财政部在国务院批准的年度地方政府专项债务限额内，根据地方棚户区改造融资需求及纳入政府性基金预算管理的国有土地使用权出让收入、专项收入状况等因素，确定年度全国棚改专项债券总额度。</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第十条 各省、自治区、直辖市年度棚改专项债券额度应当在国务院批准的本地区专项债务限额内安排，由财政部下达各省级财政部门，并抄送住房城乡建设部。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第十一条 预算执行中，各省、自治区、直辖市年度棚改专项债券额度不足或者不需使用的部分，由省级财政部门会同住房城乡建设部门于每年8月31日前向财政部提出申请。财政部可以在国务院批准的该地区专项债务限额内统筹调剂额度并予批复，同时抄送住房城乡建设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第十二条 省级财政部门应当加强对本地区棚改专项债券额度使用情况的监督管理。</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第三章 预算编制</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第十三条 县级以上地方各级棚改主管部门应当根据本地区棚户区改造规划和分年改造任务等，结合项目收益与融资平衡情况等因素，测算提出下一年度棚改专项债券资金需求，报本级财政部门复核。市县级财政部门将复核后的下一年度棚改专项债券资金需求，经本级政府批准后，由市县政府于每年9月底前报省级财政部门和省级住房城乡建设部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第十四条 省级财政部门会同本级住房城乡建设部门汇总审核本地区下一年度棚改专项债券需求，随同增加举借专项债务和安排公益性资本支出项目的建议，经省级政府批准后于每年10月31日前报送财政部。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第十五条 省级财政部门在财政部下达的本地区棚改专项债券额度内，根据市县近三年纳入政府性基金预算管理的国有土地使用权出让收入和专项收入情况、申报的棚改项目融资需求、专项债务风险、项目期限、项目收益和融资平衡情况等因素，提出本地区年度棚改专项债券分配方案，报省级政府批准后下达各市县级财政部门，并抄送省级住房城乡建设部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第十六条 市县级财政部门应当在省级财政部门下达的棚改专项债券额度内，会同本级棚改主管部门提出具体项目安排建议，连同年度棚改专项债券发行建议报省级财政部门备案，抄送省级住房城乡建设部门。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第十七条 增加举借的棚改专项债券收入应当列入政府性基金预算调整方案。包括：</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（一）省级政府在财政部下达的年度棚改专项债券额度内发行专项债券收入。</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（二）市县级政府使用的上级政府转贷棚改专项债券收入。</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第十八条 增加举借棚改专项债券安排的支出应当列入预算调整方案，包括本级支出和转贷下级支出。棚改专项债券支出应当明确到具体项目，在地方政府债务管理系统中统计，纳入财政支出预算项目库管理。</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地方各级棚改主管部门应当建立试点发行地方政府棚户区改造专项债券项目库，项目库信息应当包括项目名称、棚改范围、规模（户数或面积）、标准、建设期限、投资计划、预算安排、预期收益和融资平衡方案等情况，并做好与地方政府债务管理系统的衔接。</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第十九条 棚改专项债券还本支出应当根据当年到期棚改专项债券规模、棚户区改造项目收益等因素合理预计、妥善安排，列入年度政府性基金预算草案。</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第二十条 棚改专项债券利息和发行费用应当根据棚改专项债券规模、利率、费率等情况合理预计，列入政府性基金预算支出统筹安排。</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第二十一条 棚改专项债券收入、支出、还本付息、发行费用应当按照《地方政府专项债务预算管理办法》（财预〔2016〕155号）规定列入相关预算科目。</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第四章 预算执行和决算</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第二十二条 省级财政部门应当根据本级人大常委会批准的预算调整方案，结合市县级财政部门会同本级棚改主管部门提出的年度棚改专</w:t>
      </w:r>
      <w:r w:rsidRPr="00911FFE">
        <w:rPr>
          <w:rFonts w:ascii="微软雅黑" w:eastAsia="微软雅黑" w:hAnsi="微软雅黑" w:cs="宋体"/>
          <w:color w:val="333333"/>
          <w:kern w:val="0"/>
          <w:sz w:val="27"/>
          <w:szCs w:val="27"/>
        </w:rPr>
        <w:lastRenderedPageBreak/>
        <w:t>项债券发行建议，审核确定年度棚改专项债券发行方案，明确债券发行时间、批次、规模、期限等事项。</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市县级财政部门应当会同本级棚改主管部门做好棚改专项债券发行准备工作。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第二十三条 地方各级棚改主管部门应当配合做好本地区棚改专项债券试点发行准备工作，及时准确提供相关材料，配合做好项目规划、信息披露、信用评级、资产评估等工作。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第二十四条 发行棚改专项债券应当披露项目概况、项目预期收益和融资平衡方案、第三方评估信息、专项债券规模和期限、分年投资计划、本金利息偿还安排等信息。项目实施过程中，棚改主管部门应当根据实际情况及时披露项目进度、专项债券资金使用情况等信息。</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第二十五条 棚改专项债券应当遵循公开、公平、公正原则采取市场化方式发行，在银行间债券市场、证券交易所市场等交易场所发行和流通。</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第二十六条 棚改专项债券应当统一命名格式，冠以“××年××省、自治区、直辖市（本级或××市、县）棚改专项债券（×期）——×年××省、自治区、直辖市政府专项债券（×期）”名称，具体由省级财政部门商省级住房城乡建设部门确定。</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第二十七条 棚改专项债券的发行和使用应当严格对应到项目。根据项目地理位置、征拆户数、实施期限等因素，棚改专项债券可以对应单一项目发行，也可以对应同一地区多个项目集合发行，具体由市县级财政部门会同本级棚改主管部门提出建议，报省级财政部门确定。</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第二十八条 棚改专项债券期限应当与棚户区改造项目的征迁和土地收储、出让期限相适应，原则上不超过15年，可根据项目实际适当延长，避免期限错配风险。具体由市县级财政部门会同本级棚改主管部门根据项目实施周期、债务管理要求等因素提出建议，报省级财政部门确定。</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棚改专项债券发行时，可以约定根据项目收入情况提前偿还债券本金的条款。鼓励地方政府通过结构化设计合理确定债券期限。</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第二十九条 棚户区改造项目征迁后腾空土地的国有土地使用权出让收入、专项收入，应当结合该项目对应的棚改专项债券余额统筹安排资金，专门用于偿还到期债券本金，不得通过其他项目对应的国有土地使用权出让收入、专项收入偿还到期债券本金。因项目对应的专项收入暂时难以实现，不能偿还到期债券本金时，可在专项债务限额内发行棚改专项债券周转偿还，项目收入实现后予以归还。</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第三十条 省级财政部门应当按照合同约定，及时偿还棚改专项债券到期本金、利息以及支付发行费用。市县级财政部门应当及时向省级财政部门缴纳本地区或本级应当承担的还本付息、发行费用等资金。</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第三十一条 年度终了，县级以上地方各级财政部门应当会同本级棚改主管部门编制棚改专项债券收支决算，在政府性基金预算决算报告中全面、准确反映当年棚改专项债券收入、安排的支出、还本付息和发行费用等情况。</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第五章 监督管理</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第三十二条 地方各级财政部门应当会同本级棚改主管部门建立和完善相关制度，加强对本地区棚改专项债券发行、使用、偿还的管理和监督。</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第三十三条 地方各级棚改主管部门应当加强对使用棚改专项债券项目的管理和监督，确保项目收益和融资自求平衡。</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地方各级棚改主管部门应当会同有关部门严格按照政策实施棚户区改造项目范围内的征迁工作，腾空的土地及时交由国土资源部门按照有关规定统一出让。</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第三十四条 地方各级政府及其部门不得通过发行地方政府债券以外的任何方式举借债务，除法律另有规定外不得为任何单位和个人的债务以任何方式提供担保。</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第三十五条 地方各级财政部门应当会同本级棚改主管部门等，将棚改专项债券对应项目形成的国有资产，纳入本级国有资产管理，建立相应的资产登记和统计报告制度，加强资产日常统计和动态监控。县级</w:t>
      </w:r>
      <w:r w:rsidRPr="00911FFE">
        <w:rPr>
          <w:rFonts w:ascii="微软雅黑" w:eastAsia="微软雅黑" w:hAnsi="微软雅黑" w:cs="宋体"/>
          <w:color w:val="333333"/>
          <w:kern w:val="0"/>
          <w:sz w:val="27"/>
          <w:szCs w:val="27"/>
        </w:rPr>
        <w:lastRenderedPageBreak/>
        <w:t>以上各级棚改主管部门应当认真履行资产运营维护责任，并做好资产的会计核算管理工作。棚改专项债券对应项目形成的国有资产，应当严格按照棚改专项债券发行时约定的用途使用，不得用于抵押、质押。</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第三十六条 财政部驻各地财政监察专员办事处对棚改专项债券额度、发行、使用、偿还等进行监督，发现违反法律法规和财政管理、棚户区改造资金管理等政策规定的行为，及时报告财政部，并抄送住房城乡建设部。</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第三十七条 违反本办法规定情节严重的，财政部可以暂停其发行棚改专项债券。违反法律、行政法规的，依法追究有关人员责任；涉嫌犯罪的，移送司法机关依法处理。</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第三十八条 地方各级财政部门、棚改主管部门在地方政府棚改专项债券监督和管理工作中，存在滥用职权、玩忽职守、徇私舞弊等违法违纪行为的，按照《中华人民共和国预算法》《公务员法》《行政监察法》《财政违法行为处罚处分条例》等国家有关规定追究相应责任；涉嫌犯罪的，移送司法机关处理。</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第六章 职责分工</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第三十九条 财政部负责牵头制定和完善试点发行棚改专项债券管理办法，下达分地区棚改专项债券额度，对地方棚改专项债券管理实施监督。</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第四十条 住房城乡建设部配合财政部指导和监督地方棚改主管部门做好试点发行棚改专项债券管理相关工作。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第四十一条 省级财政部门负责本地区棚改专项债券额度管理和预算管理、组织做好债券发行、还本付息等工作，并按照专项债务风险防控要求审核项目资金需求。</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第四十二条 省级住房城乡建设部门负责审核本地区棚改专项债券项目和资金需求，组织做好试点发行棚户区改造专项债券项目库与地方政府债务管理系统的衔接，配合做好本地区棚改专项债券发行准备工作。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第四十三条 市县级财政部门负责按照政府债务管理要求并根据本级试点发行棚改专项债券项目，以及本级专项债务风险、政府性基金收入等因素，复核本地区试点发行棚改专项债券需求，做好棚改专项债券额度管理、预算管理、发行准备、资金使用监管等工作。</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市县级棚改主管部门负责按照棚户区改造工作要求并根据棚户区改造任务、成本等因素，建立本地区试点发行棚户区改造专项债券项目库，做好入库棚改项目的规划期限、投资计划、收益和融资平衡方案、预期收入等测算，做好试点发行棚户区改造专项债券年度项目库与政府债务管理系统的衔接，配合做好棚改专项债券发行各项准备工作，加强对项目实施情况的监控，并统筹协调相关部门保障项目建设进度，如期实现专项收入。</w:t>
      </w:r>
    </w:p>
    <w:p w:rsidR="00911FFE" w:rsidRPr="00911FFE" w:rsidRDefault="00911FFE" w:rsidP="00911FFE">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第七章 附则</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 xml:space="preserve">　　第四十四条 省、自治区、直辖市财政部门可以根据本办法规定，结合本地区实际制定实施细则。</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第四十五条 本办法由财政部会同住房城乡建设部负责解释。</w:t>
      </w:r>
    </w:p>
    <w:p w:rsidR="00911FFE" w:rsidRPr="00911FFE" w:rsidRDefault="00911FFE" w:rsidP="00911FFE">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 xml:space="preserve">　　第四十六条 本办法自2018年3月1日起实施。</w:t>
      </w:r>
    </w:p>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Pr>
        <w:pStyle w:val="3"/>
        <w:jc w:val="center"/>
        <w:rPr>
          <w:sz w:val="30"/>
          <w:szCs w:val="30"/>
          <w:lang w:val="zh-CN"/>
        </w:rPr>
      </w:pPr>
      <w:bookmarkStart w:id="15" w:name="_Toc12864180"/>
      <w:r w:rsidRPr="00911FFE">
        <w:rPr>
          <w:rFonts w:hint="eastAsia"/>
          <w:sz w:val="30"/>
          <w:szCs w:val="30"/>
          <w:lang w:val="zh-CN"/>
        </w:rPr>
        <w:lastRenderedPageBreak/>
        <w:t>财政部关于坚决制止地方政府违法违规举债遏制隐</w:t>
      </w:r>
      <w:r>
        <w:rPr>
          <w:rFonts w:hint="eastAsia"/>
          <w:sz w:val="30"/>
          <w:szCs w:val="30"/>
          <w:lang w:val="zh-CN"/>
        </w:rPr>
        <w:t>性</w:t>
      </w:r>
      <w:r w:rsidRPr="00911FFE">
        <w:rPr>
          <w:rFonts w:hint="eastAsia"/>
          <w:sz w:val="30"/>
          <w:szCs w:val="30"/>
          <w:lang w:val="zh-CN"/>
        </w:rPr>
        <w:t>债务增量情况的报告（</w:t>
      </w:r>
      <w:r w:rsidRPr="00911FFE">
        <w:rPr>
          <w:rFonts w:hint="eastAsia"/>
          <w:sz w:val="30"/>
          <w:szCs w:val="30"/>
          <w:lang w:val="zh-CN"/>
        </w:rPr>
        <w:t>2017</w:t>
      </w:r>
      <w:r w:rsidRPr="00911FFE">
        <w:rPr>
          <w:rFonts w:hint="eastAsia"/>
          <w:sz w:val="30"/>
          <w:szCs w:val="30"/>
          <w:lang w:val="zh-CN"/>
        </w:rPr>
        <w:t>年</w:t>
      </w:r>
      <w:r w:rsidRPr="00911FFE">
        <w:rPr>
          <w:rFonts w:hint="eastAsia"/>
          <w:sz w:val="30"/>
          <w:szCs w:val="30"/>
          <w:lang w:val="zh-CN"/>
        </w:rPr>
        <w:t>12</w:t>
      </w:r>
      <w:r w:rsidRPr="00911FFE">
        <w:rPr>
          <w:rFonts w:hint="eastAsia"/>
          <w:sz w:val="30"/>
          <w:szCs w:val="30"/>
          <w:lang w:val="zh-CN"/>
        </w:rPr>
        <w:t>月</w:t>
      </w:r>
      <w:r w:rsidRPr="00911FFE">
        <w:rPr>
          <w:rFonts w:hint="eastAsia"/>
          <w:sz w:val="30"/>
          <w:szCs w:val="30"/>
          <w:lang w:val="zh-CN"/>
        </w:rPr>
        <w:t>24</w:t>
      </w:r>
      <w:r w:rsidRPr="00911FFE">
        <w:rPr>
          <w:rFonts w:hint="eastAsia"/>
          <w:sz w:val="30"/>
          <w:szCs w:val="30"/>
          <w:lang w:val="zh-CN"/>
        </w:rPr>
        <w:t>日）</w:t>
      </w:r>
      <w:bookmarkEnd w:id="15"/>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按照全国人大财经委、全国人大常委会预算工委相关要求，现将坚决制止地方政府违法违规举债、遏制隐性债务增量相关情况报告如下：</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一、认真学习领会、坚决贯彻党中央、国务院决策部署，充分认识防范化解地方政府隐性债务风险的重要性和紧迫性</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党中央、国务院高度重视地方政府债务管理和风险防控工作。总书记在党的十九大报告中强调，要更加自觉地防范各种风险，坚决战胜一切在政治、经济、文化、社会等领域和自然界出现的困难和挑战，特别是要坚决打好防范化解重大风险、精准脱贫、污染防治的攻坚战。</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2017 年 7 月 14 日至 15 日全国金融工作会议强调，各级地方党委和政府要树立正确政绩观，严控地方政府债务增量，终身问责，倒查责任。7 月 24 日中央政治局会议强调，要积极稳妥化解累积的地方政府债务风险，有效规范地方政府举债融资，坚决遏制隐性债务增量。7 月 28 日国务院常务会议强调，各地要落实属地责任，堵住 " 后门 "，坚决遏制违法违规举债。坚持分类指导，继续整改违法担保，纠正政府和社会资本合作、政府投资基金、政府购买服务中的不规范行为。</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财政部会同各地区、各有关部门深入学习领会，从讲政治的高度，自觉增强防范地方政府债务风险的责任感和使命感，坚决贯彻执行党中央、国务院决策部署，确保认识到位、行动到位、落实到位。</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二、依法构建规范的地方政府举债融资机制，当前地方政府债务风险总体可控</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党的十八大以来，按照党中央、国务院决策部署，财政部会同有关部门依法加快建立规范的地方政府举债融资机制，基本形成覆盖地方政府债务管理各个环节的 " 闭环 " 风险防控体系。</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（一）构建法律制度框架。积极配合修订预算法，提请国务院印发《关于加强地方政府性债务管理的意见》（国发〔2014〕43 号），建立地方政府债务管理的法律制度框架，赋予地方政府依法适度举债权限。</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（二）实行地方政府债务限额管理。自 2015 年起，每年提请全国人大或全国人大常委会审议批准地方政府债务限额，经国务院同意印发《关于对地方政府债务实行限额管理的实施意见》（财预〔2015〕225 号），依法设置地方政府举债规模的 " 天花板 "。</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（三）将地方政府债务全部纳入预算管理。印发《地方政府一般债务预算管理办法》（财预〔2016〕154 号）和《地方政府专项债务预算管理办法》（财预〔2016〕155 号），将政府债务分类纳入一般公共预</w:t>
      </w:r>
      <w:r w:rsidRPr="00911FFE">
        <w:rPr>
          <w:rFonts w:ascii="微软雅黑" w:eastAsia="微软雅黑" w:hAnsi="微软雅黑" w:cs="宋体"/>
          <w:color w:val="333333"/>
          <w:kern w:val="0"/>
          <w:sz w:val="27"/>
          <w:szCs w:val="27"/>
        </w:rPr>
        <w:lastRenderedPageBreak/>
        <w:t>算和政府性基金预算管理，改变以往地方政府债务游离于预算之外的局面，主动接受人大和社会监督。</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（四）发行新增地方政府债券。经全国人大批准，2015 年、2016 年、2017 年分别安排新增地方政府债务限额 6000 亿元、     11   800 亿元、16   300 亿元，发行地方政府债券用于重大公益性项目建设，支持地方经济社会持续健康发展，推进供给侧结构性改革。</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（五）锁定并置换存量政府债务。清理甄别认定截至 2014 年末各地非政府债券形式存量政府债务，用 3 年左右时间置换成地方政府债券。截至 2017 年 10 月末，全国地方累计发行置换债券 10.5 万亿元，大大降低地方政府利息支出，避免了地方政府资金链断裂，化解了许多长期积压的 " 三角债 "，降低了金融系统呆坏账损失。</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（六）推进地方政府专项债券改革。在严格执行法定限额管理的基础上，会同有关部门印发土地储备、政府收费公路专项债券管理办法，试点发行项目收益与融资自求平衡的专项债券品种，开好规范举债的 " 前门 "。</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七）实施地方政府债务风险预警。综合运用债务率、偿债率等指标，每年组织评估、预警、通报地方各级政府债务风险情况，督促各省级政府制定风险化解规划或应急处置预案，多渠道筹集资金化解存量债务风险。</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（八）建立地方政府债务应急处置机制。提请国务院同意，由国务院办公厅印发《地方政府性债务风险应急处置预案》（国办函〔2016〕88 号），经国务院同意印发《地方政府性债务风险分类处置指南》（财预〔2016〕152 号），对地方政府性债务风险应急处置作出系统性安排，妥善做好风险事件应急政策储备。</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（九）建立地方政府债务日常监督机制。印发《财政部驻各地财政监察专员办事处实施地方政府债务监督暂行办法》（财预〔2016〕175 号），授予专员办就地查处的权力，建立发现一起、查处一起、问责一起的机制，实现地方政府债务常态化监督。</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（十）严肃处理和通报违法违规举债担保行为。组织核查部分市县、金融机构违法违规融资担保行为，发函至 10 个省级政府和银监会、商务部等部门建议依法问责处理，目前，重庆市、山东省、河南省、湖北省、江苏省和银监会已对相关责任人给予撤职、行政降级、罚款等处分。同时，分批公开曝光处理结果，发挥警示教育作用。</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2016 年底以来，按照中央经济工作会议和政府工作报告有关精神和要求，财政部会同有关部门切实加大工作力度。</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一是专题部署工作，在 2016 年底召开的全国财政工作会议上，专门要求地方财政部门严守底线不动摇，摸清风险隐患，严格落实地方政府债务管理制度；二是完善监管政策，会同国家发展改革委等 6 部门印发《关于进一步规范地方政府举债融资行为的通知》（财预〔2017〕</w:t>
      </w:r>
      <w:r w:rsidRPr="00911FFE">
        <w:rPr>
          <w:rFonts w:ascii="微软雅黑" w:eastAsia="微软雅黑" w:hAnsi="微软雅黑" w:cs="宋体"/>
          <w:color w:val="333333"/>
          <w:kern w:val="0"/>
          <w:sz w:val="27"/>
          <w:szCs w:val="27"/>
        </w:rPr>
        <w:lastRenderedPageBreak/>
        <w:t>50 号），印发《关于坚决制止地方以政府购买服务名义违法违规融资的通知》（财预〔2017〕87 号），严禁借政府投资基金、政府和社会资本合作（PPP）、政府购买服务等名义变相举债；三是部署清理整改违法违规融资担保问题，组织核查问责部分市县、金融机构违法违规融资担保行为。</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通过持续规范管理，截至 2016 年末，全国法定限额内政府债务余额 27.33 万亿元，负债率（债务余额 /GDP）为 36.7%，低于主要市场经济国家和新兴经济体水平；地方政府债务余额 15.32 万亿元，债务率（债务余额 / 综合财力）为 80.5%，低于国际通行的 100% — 120% 警戒线。目前，地方政府债务风险总体可控。</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三、地方政府违法违规举债问题的成因分析</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虽然地方政府债务风险总体可控，但个别地方政府继续通过融资平台公司、PPP、政府投资基金、政府购买服务等方式违法违规或变相举债，风险不容忽视。从地方政府及相关部门反映的情况看，地方政府违法违规举债的主要原因是：</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（一）一些地方党政领导干部政绩观不正确。有的地方党政领导干部没有认真贯彻新发展理念，过度举债谋 " 政绩 "，超出财力可能铺摊子，无序举债搞建设。有的地方政府建设项目缺乏统筹规划和长远考虑，急于超前发展，只管举债建设、不考虑还钱。这些违法违规或变相举借的</w:t>
      </w:r>
      <w:r w:rsidRPr="00911FFE">
        <w:rPr>
          <w:rFonts w:ascii="微软雅黑" w:eastAsia="微软雅黑" w:hAnsi="微软雅黑" w:cs="宋体"/>
          <w:color w:val="333333"/>
          <w:kern w:val="0"/>
          <w:sz w:val="27"/>
          <w:szCs w:val="27"/>
        </w:rPr>
        <w:lastRenderedPageBreak/>
        <w:t>债务缺乏预算约束，" 借、用、还 " 管理脱节，形成企业借债、政府使用、偿债资金无法落实的局面。</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项目实施责任不落实。有些地方和部门审核基础设施建设项目把关不严，对举债建设项目现金流评估不够，对项目市场前景和经济效益测算不科学，没有充分考虑地方政府还款能力，存在风险隐患。同时，还有些项目单位未按项目批复要求落实各项建设资金来源，加剧风险隐患。</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三）一些金融机构推波助澜。有些金融机构认为地方政府不会破产也不敢破产，存在财政兜底幻觉，加上政府背景项目融资规模大，利率弹性小，容易快速提升单位经营业绩和个人绩效奖励，对这类项目趋之若鹜，没有按照市场化原则严格评估政府背景项目风险，放松风险管控要求，大量违规提供融资。一些中央企业向金融机构融资后，通过合同约定由地方政府回购或保证最低收益等方式，参与地方政府项目建设，助推地方政府变相举债。</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四）违法违规融资行为问责不到位。不少地方政府没有落实属地管理责任，甚至认为违法违规举债上项目、搞建设有利于地方发展，对相关违法违规人员问责不到位，约束软化，导致违法违规举债行为不断出现。金融监管部门问责金融机构的制度尚不健全，对相关违法违规行为处罚不严。</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四、下一步工作考虑</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财政部将会同各地区、各有关部门全面贯彻党的十九大精神，以新时代中国特色社会主义思想为指导，切实增强 " 四个意识 "，坚持稳中求进工作总基调，坚持新发展理念，统筹推进 " 五位一体 " 总体布局和协调推进 " 四个全面 " 战略布局，严格执行预算法和担保法，坚决刹住无序举债之风，有效遏制隐性债务增量，坚持谁举债、谁负责，严格落实地方政府属地管理责任，债务人、债权人依法合理分担风险，积极稳妥处置隐性债务存量，坚决打好防范化解重大风险的攻坚战。</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一）坚决遏制隐性债务增量。一是进一步完善地方建设项目和资金管理。加大财政约束力度，有效抑制地方不具备还款能力的项目建设。有关部门要加强监督管理，从严审核把关，严禁建设形象工程、政绩工程以及脱离当地财力可能的项目。</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二是管控好新增项目融资的金融 " 闸门 "。督促金融机构尽职调查、严格把关，对没有稳定经营性现金流作为还款来源或没有合法合规抵质押物的项目，金融机构不得提供融资，严格按商业化原则提供融资。三是强化中央企业债务融资管控，严禁违规为地方政府变相举债。</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（二）积极稳妥化解存量隐性债务。坚持中央不救助原则，做到 " 谁家的孩子谁抱 "，坚决打消地方政府认为中央政府会 " 买单 " 的 " 幻觉 "，坚决打消金融机构认为政府会兜底的 " 幻觉 "。建立市场化、法治化的债务违约处置机制，依法实现债权人、债务人共担风险，及时有效防止违约风险扩散蔓延。坚持从实际出发，分类审慎处置，继续整</w:t>
      </w:r>
      <w:r w:rsidRPr="00911FFE">
        <w:rPr>
          <w:rFonts w:ascii="微软雅黑" w:eastAsia="微软雅黑" w:hAnsi="微软雅黑" w:cs="宋体"/>
          <w:color w:val="333333"/>
          <w:kern w:val="0"/>
          <w:sz w:val="27"/>
          <w:szCs w:val="27"/>
        </w:rPr>
        <w:lastRenderedPageBreak/>
        <w:t>改违法担保，纠正政府投资基金、PPP、政府购买服务中的不规范行为，鼓励地方政府合法合规增信，防范存量债务资金链断裂风险。</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（三）开好地方政府规范举债融资的 " 前门 "。一是适度增加地方政府债务限额。地方政府一般债务重点用于支持易地扶贫搬迁、深度贫困地区基础设施等没有收益的公益性项目建设。适度增加地方政府专项债务限额，稳步推进专项债券管理改革，支持有一定收益的公益性项目建设。</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二是支持地方政府合法合规与社会资本合作。鼓励地方政府规范运用 PPP、政府投资基金等方式。严禁 PPP 异化为新的融资平台，严禁政府投资基金、政府购买服务异化为 " 二财政 "。三是支持市场化融资和担保。鼓励政府出资的担保公司依法依规提供融资担保服务，地方政府在出资范围内对担保公司承担责任。</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四）稳步推动融资平台公司市场化转型。一是规范融资平台公司融资管理。推动融资平台公司公开透明、合法合规运作，严禁新设融资平台公司。规范融资平台公司融资信息披露，充分披露企业及项目相关信息，严禁与地方政府信用挂钩的误导性宣传。</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二是分类推进融资平台公司市场化转型。妥善处理融资平台公司债务和资产，剥离融资平台公司政府融资职能，支持转型后的国有企业依法合规承接政府公益性项目。</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lastRenderedPageBreak/>
        <w:t>三是防止地方国有企业和事业单位 " 平台化 "。督促地方国有企业规范运作，坚决制止地方政府将公益性事业单位演变为融资平台。</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五）健全监督问责机制。加强重点督查和审计。研究出台终身问责、倒查责任制度办法，坚决查处问责违法违规行为。督促省级政府健全责任追究机制，对继续违法违规的，发现一起、查处一起、问责一起，终身问责、倒查责任。</w:t>
      </w:r>
    </w:p>
    <w:p w:rsidR="00911FFE" w:rsidRPr="00911FFE" w:rsidRDefault="00911FFE" w:rsidP="00911FFE">
      <w:pPr>
        <w:widowControl/>
        <w:shd w:val="clear" w:color="auto" w:fill="FFFFFF"/>
        <w:spacing w:before="375" w:after="375" w:line="375" w:lineRule="atLeast"/>
        <w:jc w:val="left"/>
        <w:rPr>
          <w:rFonts w:ascii="微软雅黑" w:eastAsia="微软雅黑" w:hAnsi="微软雅黑" w:cs="宋体"/>
          <w:color w:val="333333"/>
          <w:kern w:val="0"/>
          <w:sz w:val="27"/>
          <w:szCs w:val="27"/>
        </w:rPr>
      </w:pPr>
      <w:r w:rsidRPr="00911FFE">
        <w:rPr>
          <w:rFonts w:ascii="微软雅黑" w:eastAsia="微软雅黑" w:hAnsi="微软雅黑" w:cs="宋体"/>
          <w:color w:val="333333"/>
          <w:kern w:val="0"/>
          <w:sz w:val="27"/>
          <w:szCs w:val="27"/>
        </w:rPr>
        <w:t>（六）建立健全长效管理机制。按照党的十九大部署，深化财税体制、投融资体制、金融改革；全面推进地方政府债务公开；加快编制以权责发生制为基础的政府综合财务报告；充分发挥市场机制激励约束作用，促进市场融资自律机制形成；推进政府债务立法，强化法律保障。</w:t>
      </w:r>
    </w:p>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911FFE"/>
    <w:p w:rsidR="00911FFE" w:rsidRDefault="00911FFE" w:rsidP="004849B5">
      <w:pPr>
        <w:pStyle w:val="3"/>
        <w:jc w:val="center"/>
        <w:rPr>
          <w:sz w:val="30"/>
          <w:szCs w:val="30"/>
          <w:lang w:val="zh-CN"/>
        </w:rPr>
      </w:pPr>
      <w:bookmarkStart w:id="16" w:name="_Toc12864181"/>
      <w:r w:rsidRPr="004849B5">
        <w:rPr>
          <w:rFonts w:hint="eastAsia"/>
          <w:sz w:val="30"/>
          <w:szCs w:val="30"/>
          <w:lang w:val="zh-CN"/>
        </w:rPr>
        <w:lastRenderedPageBreak/>
        <w:t>财政部关于印发《地方预算执行动态监控工作督导考核办法》的通知（财库〔</w:t>
      </w:r>
      <w:r w:rsidRPr="004849B5">
        <w:rPr>
          <w:rFonts w:hint="eastAsia"/>
          <w:sz w:val="30"/>
          <w:szCs w:val="30"/>
          <w:lang w:val="zh-CN"/>
        </w:rPr>
        <w:t>2017</w:t>
      </w:r>
      <w:r w:rsidRPr="004849B5">
        <w:rPr>
          <w:rFonts w:hint="eastAsia"/>
          <w:sz w:val="30"/>
          <w:szCs w:val="30"/>
          <w:lang w:val="zh-CN"/>
        </w:rPr>
        <w:t>〕</w:t>
      </w:r>
      <w:r w:rsidRPr="004849B5">
        <w:rPr>
          <w:rFonts w:hint="eastAsia"/>
          <w:sz w:val="30"/>
          <w:szCs w:val="30"/>
          <w:lang w:val="zh-CN"/>
        </w:rPr>
        <w:t>161</w:t>
      </w:r>
      <w:r w:rsidRPr="004849B5">
        <w:rPr>
          <w:rFonts w:hint="eastAsia"/>
          <w:sz w:val="30"/>
          <w:szCs w:val="30"/>
          <w:lang w:val="zh-CN"/>
        </w:rPr>
        <w:t>号）</w:t>
      </w:r>
      <w:bookmarkEnd w:id="16"/>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为督导地方加快推进预算执行动态监控工作，实现2018年建成地方预算执行动态监控体系的目标，根据《财政部关于进一步推进地方预算执行动态监控工作的指导意见》（财库〔2015〕73号），我们制定了《地方预算执行动态监控工作督导考核办法》，现印发给你们，请认真贯彻执行。</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本通知印发后，各省级财政部门不再另行向财政部报送年度预算执行动态监控工作进展情况。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附件：地方预算执行动态监控工作督导考核办法</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附件：</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地方预算执行动态监控工作督导考核办法</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第一条 为督导地方加快推进预算执行动态监控工作，实现2018年建成地方预算执行动态监控体系的目标，根据《财政部关于进一步推进地方预算执行动态监控工作的指导意见》（财库〔2015〕73号），制定本办法。</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第二条 本办法适用于对各省、自治区、直辖市、计划单列市财政厅（局）（以下简称省级财政部门）预算执行动态监控工作的督导考核。</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第三条 督导考核工作遵循客观公正、突出重点、便于操作的原则。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第四条 督导考核工作由财政部组织实施。</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第五条 督导考核年度为前一年10月1日至本年9月30日。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第六条 督导考核主要包括以下内容：</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（一）管理制度情况。重点督导考核预算执行动态监控管理办法和操作规程的制定情况。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（二）工作机制情况。重点督导考核预算执行动态监控运作机制、工作互动机制、信息报告机制和违规问题处理机制的建立情况。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（三）技术支撑情况。重点督导考核预算执行动态监控系统（或模块）建设情况和功能情况。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（四）工作责任落实情况。重点督导考核省级财政部门对预算执行动态监控工作的组织领导情况和对下级财政部门动态监控工作的督查情况。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（五）省本级动态监控工作情况。重点督导考核已实施国库集中支付改革并纳入动态监控范围的省级预算单位数量情况、纳入动态监控范</w:t>
      </w:r>
      <w:r w:rsidRPr="004849B5">
        <w:rPr>
          <w:rFonts w:ascii="微软雅黑" w:eastAsia="微软雅黑" w:hAnsi="微软雅黑" w:cs="宋体"/>
          <w:color w:val="333333"/>
          <w:kern w:val="0"/>
          <w:sz w:val="27"/>
          <w:szCs w:val="27"/>
        </w:rPr>
        <w:lastRenderedPageBreak/>
        <w:t>围的资金类型情况、预警规则的研究制定情况，以及动态监控岗位的设置情况。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（六）省以下工作推进情况。重点督导考核已实施国库集中支付改革并开展动态监控工作的地市和县区的数量情况。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（七）自评报告情况。重点督导考核自评报告的内容完整性和报送及时性等情况。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具体督导考核指标、分值和评分依据详见附件1《地方预算执行动态监控工作督导考核评分表》。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第七条 督导考核采取以下步骤：</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（一）自查评价。省级财政部门按照本办法对督导考核年度工作进行自评和打分，形成《    省（区、市）预算执行动态监控工作自评报告》（具体格式见附件2），连同《地方预算执行动态监控工作督导考核评分表》《    省（区、市）预算执行动态监控基本情况表》（具体格式见附件3）及考核证明材料，于每年10月31日前以正式文件形式报送财政部。省级财政部门对自评报告的真实性、准确性负责。</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（二）复核审定。财政部成立考核组对省级财政部门报送的自评报告及相关材料进行复核，形成复核意见，与省级财政部门充分交换意见后，确定考核结果。</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第八条 督导考核采用百分制。考核结束后，财政部按考核得分高低排序，向省级财政部门通报考核结果。</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每年11月30日前未报送自评报告及相关材料的，考核得分为零分。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第九条 财政部根据考核结果，对综合得分较低或某些方面问题突出的省份，以现场检查、约谈等方式进行跟踪督导。</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第十条 省级财政部门可参照本办法，结合实际情况，制定本地区督导考核办法。</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第十一条 财政部工作人员在督导考核过程中存在违反工作原则、程序等问题，依法依纪应当追究责任的，依照《中华人民共和国公务员法》《中华人民共和国行政监察法》等有关规定追究相应责任。</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第十二条 本办法自印发之日起施行。</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附：1.地方预算执行动态监控工作督导考核评分表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2.省（区、市）预算执行动态监控工作自评报告（模版）</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3.省（区、市）预算执行动态监控基本情况表</w:t>
      </w:r>
    </w:p>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17" w:name="_Toc12864182"/>
      <w:r w:rsidRPr="004849B5">
        <w:rPr>
          <w:rFonts w:hint="eastAsia"/>
          <w:sz w:val="30"/>
          <w:szCs w:val="30"/>
          <w:lang w:val="zh-CN"/>
        </w:rPr>
        <w:lastRenderedPageBreak/>
        <w:t>关于坚决制止地方以政府购买服务名义违法违规融资的通知（财预〔</w:t>
      </w:r>
      <w:r w:rsidRPr="004849B5">
        <w:rPr>
          <w:rFonts w:hint="eastAsia"/>
          <w:sz w:val="30"/>
          <w:szCs w:val="30"/>
          <w:lang w:val="zh-CN"/>
        </w:rPr>
        <w:t>2017</w:t>
      </w:r>
      <w:r w:rsidRPr="004849B5">
        <w:rPr>
          <w:rFonts w:hint="eastAsia"/>
          <w:sz w:val="30"/>
          <w:szCs w:val="30"/>
          <w:lang w:val="zh-CN"/>
        </w:rPr>
        <w:t>〕</w:t>
      </w:r>
      <w:r w:rsidRPr="004849B5">
        <w:rPr>
          <w:rFonts w:hint="eastAsia"/>
          <w:sz w:val="30"/>
          <w:szCs w:val="30"/>
          <w:lang w:val="zh-CN"/>
        </w:rPr>
        <w:t>87</w:t>
      </w:r>
      <w:r w:rsidRPr="004849B5">
        <w:rPr>
          <w:rFonts w:hint="eastAsia"/>
          <w:sz w:val="30"/>
          <w:szCs w:val="30"/>
          <w:lang w:val="zh-CN"/>
        </w:rPr>
        <w:t>号）</w:t>
      </w:r>
      <w:bookmarkEnd w:id="17"/>
    </w:p>
    <w:tbl>
      <w:tblPr>
        <w:tblW w:w="5000" w:type="pct"/>
        <w:jc w:val="center"/>
        <w:tblCellSpacing w:w="0" w:type="dxa"/>
        <w:tblCellMar>
          <w:left w:w="0" w:type="dxa"/>
          <w:right w:w="0" w:type="dxa"/>
        </w:tblCellMar>
        <w:tblLook w:val="04A0" w:firstRow="1" w:lastRow="0" w:firstColumn="1" w:lastColumn="0" w:noHBand="0" w:noVBand="1"/>
      </w:tblPr>
      <w:tblGrid>
        <w:gridCol w:w="777"/>
        <w:gridCol w:w="7529"/>
      </w:tblGrid>
      <w:tr w:rsidR="004849B5" w:rsidRPr="004849B5" w:rsidTr="004849B5">
        <w:trPr>
          <w:tblCellSpacing w:w="0" w:type="dxa"/>
          <w:jc w:val="center"/>
        </w:trPr>
        <w:tc>
          <w:tcPr>
            <w:tcW w:w="5000" w:type="pct"/>
            <w:gridSpan w:val="2"/>
            <w:vAlign w:val="center"/>
            <w:hideMark/>
          </w:tcPr>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国务院办公厅关于政府向社会力量购买服务的指导意见》（国办发〔2013〕96号）印发后，各地稳步推进政府购买服务工作，取得了良好成效。同时，一些地区存在违法违规扩大政府购买服务范围、超越管理权限延长购买服务期限等问题，加剧了财政金融风险。根据《中华人民共和国预算法》、《中华人民共和国政府采购法》、《国务院关于实行中期财政规划管理的意见》（国发〔2015〕3号）、国办发〔2013〕96号文件等规定，为规范政府购买服务管理，制止地方政府违法违规举债融资行为，防范化解财政金融风险，现就有关事项通知如下：</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坚持政府购买服务改革正确方向。推广政府购买服务是党的十八届三中全会决定明确的一项重要改革任务，有利于加快转变政府职能、改善公共服务供给、推进财政支出方式改革。政府购买服务所需资金应当在年度预算和中期财政规划中据实足额安排。实施政府购买服务改革，要坚持费随事转，注重与事业单位改革、行业协会商会与行政主管部门脱钩转制改革、支持社会组织培育发展等政策相衔接，带动和促进政事分开、政社分开。地方政府及其所属部门要始终准确把握并牢固坚持政府购买服务改革的正确方向，依法依规、积极稳妥地加以推进。</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二、严格按照规定范围实施政府购买服务。政府购买服务内容应当</w:t>
            </w:r>
            <w:r w:rsidRPr="004849B5">
              <w:rPr>
                <w:rFonts w:ascii="微软雅黑" w:eastAsia="微软雅黑" w:hAnsi="微软雅黑" w:cs="宋体"/>
                <w:color w:val="333333"/>
                <w:kern w:val="0"/>
                <w:sz w:val="27"/>
                <w:szCs w:val="27"/>
              </w:rPr>
              <w:lastRenderedPageBreak/>
              <w:t>严格限制在属于政府职责范围、适合采取市场化方式提供、社会力量能够承担的服务事项，重点是有预算安排的基本公共服务项目。科学制定并适时完善分级分部门政府购买服务指导性目录，增强指导性目录的约束力。对暂时未纳入指导性目录又确需购买的服务事项，应当报财政部门审核备案后调整实施。</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严格按照《中华人民共和国政府采购法》确定的服务范围实施政府购买服务，不得将原材料、燃料、设备、产品等货物，以及建筑物和构筑物的新建、改建、扩建及其相关的装修、拆除、修缮等建设工程作为政府购买服务项目。严禁将铁路、公路、机场、通讯、水电煤气，以及教育、科技、医疗卫生、文化、体育等领域的基础设施建设，储备土地前期开发，农田水利等建设工程作为政府购买服务项目。严禁将建设工程与服务打包作为政府购买服务项目。严禁将金融机构、融资租赁公司等非金融机构提供的融资行为纳入政府购买服务范围。政府建设工程项目确需使用财政资金，应当依照《中华人民共和国政府采购法》及其实施条例、《中华人民共和国招标投标法》规范实施。</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三、严格规范政府购买服务预算管理。政府购买服务要坚持先有预算、后购买服务，所需资金应当在既有年度预算中统筹考虑，不得把政府购买服务作为增加预算单位财政支出的依据。地方各级财政部门应当充分考虑实际财力水平，妥善做好政府购买服务支出与年度预算、中期财政规划的衔接，足额安排资金，保障服务承接主体合法权益。年度预算未安排资金的，不得实施政府购买服务。购买主体应当按照批准的预</w:t>
            </w:r>
            <w:r w:rsidRPr="004849B5">
              <w:rPr>
                <w:rFonts w:ascii="微软雅黑" w:eastAsia="微软雅黑" w:hAnsi="微软雅黑" w:cs="宋体"/>
                <w:color w:val="333333"/>
                <w:kern w:val="0"/>
                <w:sz w:val="27"/>
                <w:szCs w:val="27"/>
              </w:rPr>
              <w:lastRenderedPageBreak/>
              <w:t>算执行，从部门预算经费或经批准的专项资金等既有年度预算中统筹安排购买服务资金。购买主体签订购买服务合同，应当确认涉及的财政支出已在年度预算和中期财政规划中安排。政府购买服务期限应严格限定在年度预算和中期财政规划期限内。党中央、国务院统一部署的棚户区改造、易地扶贫搬迁工作中涉及的政府购买服务事项，按照相关规定执行。</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四、严禁利用或虚构政府购买服务合同违法违规融资。金融机构涉及政府购买服务的融资审查，必须符合政府预算管理制度相关要求，做到依法合规。承接主体利用政府购买服务合同向金融机构融资时，应当配合金融机构做好合规性管理，相关合同在购买内容和期限等方面必须符合政府购买服务有关法律和制度规定。地方政府及其部门不得利用或虚构政府购买服务合同为建设工程变相举债，不得通过政府购买服务向金融机构、融资租赁公司等非金融机构进行融资，不得以任何方式虚构或超越权限签订应付（收）账款合同帮助融资平台公司等企业融资。</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五、切实做好政府购买服务信息公开。各地应当将年度预算中政府购买服务总金额、纳入中期财政规划的政府购买服务总金额以及政府购买服务项目有关预算信息，按规定及时向社会公开，提高预算透明度。购买主体应当依法在中国政府采购网及其地方分网及时公开政府购买服务项目相关信息，包括政府购买服务内容、购买方式、承接主体、合同金额、分年财政资金安排、合同期限、绩效评价等，确保政府购买服务项目信息真实准确，可查询、可追溯。坚决防止借政府购买服务名义</w:t>
            </w:r>
            <w:r w:rsidRPr="004849B5">
              <w:rPr>
                <w:rFonts w:ascii="微软雅黑" w:eastAsia="微软雅黑" w:hAnsi="微软雅黑" w:cs="宋体"/>
                <w:color w:val="333333"/>
                <w:kern w:val="0"/>
                <w:sz w:val="27"/>
                <w:szCs w:val="27"/>
              </w:rPr>
              <w:lastRenderedPageBreak/>
              <w:t>进行利益输送等违法违规行为。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各省级财政部门要充分认识规范政府购买服务管理、防范财政金融风险的重要性，统一思想，加强领导，周密部署，报经省级政府批准后，会同相关部门组织全面摸底排查本地区政府购买服务情况，发现违法违规问题的，督促相关地区和单位限期依法依规整改到位，并将排查和整改结果于2017年10月底前报送财政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特此通知。</w:t>
            </w:r>
          </w:p>
          <w:p w:rsidR="004849B5" w:rsidRPr="004849B5" w:rsidRDefault="004849B5" w:rsidP="004849B5">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  政  部</w:t>
            </w:r>
          </w:p>
          <w:p w:rsidR="004849B5" w:rsidRPr="004849B5" w:rsidRDefault="004849B5" w:rsidP="004849B5">
            <w:pPr>
              <w:widowControl/>
              <w:spacing w:before="100" w:beforeAutospacing="1" w:after="100" w:afterAutospacing="1" w:line="432" w:lineRule="auto"/>
              <w:jc w:val="right"/>
              <w:rPr>
                <w:rFonts w:ascii="Arial" w:eastAsia="宋体" w:hAnsi="Arial" w:cs="Arial"/>
                <w:kern w:val="0"/>
                <w:sz w:val="24"/>
                <w:szCs w:val="24"/>
              </w:rPr>
            </w:pPr>
            <w:r w:rsidRPr="004849B5">
              <w:rPr>
                <w:rFonts w:ascii="微软雅黑" w:eastAsia="微软雅黑" w:hAnsi="微软雅黑" w:cs="宋体"/>
                <w:color w:val="333333"/>
                <w:kern w:val="0"/>
                <w:sz w:val="27"/>
                <w:szCs w:val="27"/>
              </w:rPr>
              <w:t xml:space="preserve">　　2017年5月28日</w:t>
            </w:r>
          </w:p>
        </w:tc>
      </w:tr>
      <w:tr w:rsidR="004849B5" w:rsidRPr="004849B5" w:rsidTr="004849B5">
        <w:trPr>
          <w:tblCellSpacing w:w="0" w:type="dxa"/>
          <w:jc w:val="center"/>
          <w:hidden/>
        </w:trPr>
        <w:tc>
          <w:tcPr>
            <w:tcW w:w="468" w:type="pct"/>
            <w:hideMark/>
          </w:tcPr>
          <w:p w:rsidR="004849B5" w:rsidRPr="004849B5" w:rsidRDefault="004849B5" w:rsidP="004849B5">
            <w:pPr>
              <w:widowControl/>
              <w:spacing w:line="432" w:lineRule="auto"/>
              <w:jc w:val="left"/>
              <w:rPr>
                <w:rFonts w:ascii="Arial" w:eastAsia="宋体" w:hAnsi="Arial" w:cs="Arial"/>
                <w:vanish/>
                <w:kern w:val="0"/>
                <w:sz w:val="24"/>
                <w:szCs w:val="24"/>
              </w:rPr>
            </w:pPr>
            <w:r w:rsidRPr="004849B5">
              <w:rPr>
                <w:rFonts w:ascii="Arial" w:eastAsia="宋体" w:hAnsi="Arial" w:cs="Arial"/>
                <w:vanish/>
                <w:kern w:val="0"/>
                <w:sz w:val="24"/>
                <w:szCs w:val="24"/>
              </w:rPr>
              <w:lastRenderedPageBreak/>
              <w:t xml:space="preserve">  </w:t>
            </w:r>
          </w:p>
          <w:p w:rsidR="004849B5" w:rsidRPr="004849B5" w:rsidRDefault="004849B5" w:rsidP="004849B5">
            <w:pPr>
              <w:widowControl/>
              <w:spacing w:before="100" w:beforeAutospacing="1" w:after="100" w:afterAutospacing="1" w:line="432" w:lineRule="auto"/>
              <w:jc w:val="left"/>
              <w:rPr>
                <w:rFonts w:ascii="Arial" w:eastAsia="宋体" w:hAnsi="Arial" w:cs="Arial"/>
                <w:vanish/>
                <w:kern w:val="0"/>
                <w:sz w:val="24"/>
                <w:szCs w:val="24"/>
              </w:rPr>
            </w:pPr>
            <w:r w:rsidRPr="004849B5">
              <w:rPr>
                <w:rFonts w:ascii="Arial" w:eastAsia="宋体" w:hAnsi="Arial" w:cs="Arial"/>
                <w:vanish/>
                <w:kern w:val="0"/>
                <w:sz w:val="24"/>
                <w:szCs w:val="24"/>
              </w:rPr>
              <w:t>附件下载</w:t>
            </w:r>
            <w:r w:rsidRPr="004849B5">
              <w:rPr>
                <w:rFonts w:ascii="Arial" w:eastAsia="宋体" w:hAnsi="Arial" w:cs="Arial"/>
                <w:vanish/>
                <w:kern w:val="0"/>
                <w:sz w:val="24"/>
                <w:szCs w:val="24"/>
              </w:rPr>
              <w:t>:</w:t>
            </w:r>
          </w:p>
        </w:tc>
        <w:tc>
          <w:tcPr>
            <w:tcW w:w="4532" w:type="pct"/>
            <w:hideMark/>
          </w:tcPr>
          <w:p w:rsidR="004849B5" w:rsidRPr="004849B5" w:rsidRDefault="004849B5" w:rsidP="004849B5">
            <w:pPr>
              <w:widowControl/>
              <w:spacing w:line="432" w:lineRule="auto"/>
              <w:jc w:val="left"/>
              <w:rPr>
                <w:rFonts w:ascii="Arial" w:eastAsia="宋体" w:hAnsi="Arial" w:cs="Arial"/>
                <w:vanish/>
                <w:kern w:val="0"/>
                <w:sz w:val="24"/>
                <w:szCs w:val="24"/>
              </w:rPr>
            </w:pPr>
            <w:r w:rsidRPr="004849B5">
              <w:rPr>
                <w:rFonts w:ascii="Arial" w:eastAsia="宋体" w:hAnsi="Arial" w:cs="Arial"/>
                <w:vanish/>
                <w:kern w:val="0"/>
                <w:sz w:val="24"/>
                <w:szCs w:val="24"/>
              </w:rPr>
              <w:t xml:space="preserve">  </w:t>
            </w:r>
          </w:p>
          <w:p w:rsidR="004849B5" w:rsidRPr="004849B5" w:rsidRDefault="004849B5" w:rsidP="004849B5">
            <w:pPr>
              <w:widowControl/>
              <w:jc w:val="left"/>
              <w:rPr>
                <w:rFonts w:ascii="Arial" w:eastAsia="宋体" w:hAnsi="Arial" w:cs="Arial"/>
                <w:vanish/>
                <w:kern w:val="0"/>
                <w:sz w:val="24"/>
                <w:szCs w:val="24"/>
              </w:rPr>
            </w:pPr>
          </w:p>
        </w:tc>
      </w:tr>
    </w:tbl>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18" w:name="_Toc12864183"/>
      <w:r w:rsidRPr="004849B5">
        <w:rPr>
          <w:rFonts w:hint="eastAsia"/>
          <w:sz w:val="30"/>
          <w:szCs w:val="30"/>
          <w:lang w:val="zh-CN"/>
        </w:rPr>
        <w:lastRenderedPageBreak/>
        <w:t>关于进一步规范地方政府举债融资行为的通知（财预〔</w:t>
      </w:r>
      <w:r w:rsidRPr="004849B5">
        <w:rPr>
          <w:rFonts w:hint="eastAsia"/>
          <w:sz w:val="30"/>
          <w:szCs w:val="30"/>
          <w:lang w:val="zh-CN"/>
        </w:rPr>
        <w:t>2017</w:t>
      </w:r>
      <w:r w:rsidRPr="004849B5">
        <w:rPr>
          <w:rFonts w:hint="eastAsia"/>
          <w:sz w:val="30"/>
          <w:szCs w:val="30"/>
          <w:lang w:val="zh-CN"/>
        </w:rPr>
        <w:t>〕</w:t>
      </w:r>
      <w:r w:rsidRPr="004849B5">
        <w:rPr>
          <w:rFonts w:hint="eastAsia"/>
          <w:sz w:val="30"/>
          <w:szCs w:val="30"/>
          <w:lang w:val="zh-CN"/>
        </w:rPr>
        <w:t>50</w:t>
      </w:r>
      <w:r w:rsidRPr="004849B5">
        <w:rPr>
          <w:rFonts w:hint="eastAsia"/>
          <w:sz w:val="30"/>
          <w:szCs w:val="30"/>
          <w:lang w:val="zh-CN"/>
        </w:rPr>
        <w:t>号）</w:t>
      </w:r>
      <w:bookmarkEnd w:id="18"/>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4849B5" w:rsidRPr="004849B5" w:rsidTr="004849B5">
        <w:trPr>
          <w:tblCellSpacing w:w="0" w:type="dxa"/>
          <w:jc w:val="center"/>
        </w:trPr>
        <w:tc>
          <w:tcPr>
            <w:tcW w:w="5000" w:type="pct"/>
            <w:vAlign w:val="center"/>
            <w:hideMark/>
          </w:tcPr>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各省、自治区、直辖市、计划单列市财政厅（局）、发展改革委、司法厅（局），中国人民银行上海总部、各分行、营业管理部、省会（首府）城市中心支行、副省级城市中心支行，各银监局、证监局：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2014年修订的预算法和《国务院关于加强地方政府性债务管理的意见》（国发〔2014〕43号）实施以来，地方各级政府加快建立规范的举债融资机制，积极发挥政府规范举债对经济社会发展的支持作用，防范化解财政金融风险，取得了阶段性成效。但个别地区违法违规举债担保时有发生，局部风险不容忽视。为贯彻落实党中央、国务院决策部署，牢牢守住不发生区域性系统性风险的底线，现就进一步规范地方政府举债融资行为有关事项通知如下：</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一、全面组织开展地方政府融资担保清理整改工作</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各省级政府要认真落实国务院办公厅印发的《地方政府性债务风险应急处置预案》（国办函〔2016〕88号）要求，抓紧设立政府性债务管理领导小组，指导督促本级各部门和市县政府进一步完善风险防范机制，结合2016年开展的融资平台公司债务等统计情况，尽快组织一次地方政府及其部门融资担保行为摸底排查，督促相关部门、市县政府加强与社会资本方的平等协商，依法完善合同条款，分类妥善处置，全面改正地方政府不规范的融资担保行为。上述工作应当于2017年7月</w:t>
            </w:r>
            <w:r w:rsidRPr="004849B5">
              <w:rPr>
                <w:rFonts w:ascii="微软雅黑" w:eastAsia="微软雅黑" w:hAnsi="微软雅黑" w:cs="宋体"/>
                <w:color w:val="333333"/>
                <w:kern w:val="0"/>
                <w:sz w:val="27"/>
                <w:szCs w:val="27"/>
              </w:rPr>
              <w:lastRenderedPageBreak/>
              <w:t>31日前清理整改到位，对逾期不改正或改正不到位的相关部门、市县政府，省级政府性债务管理领导小组应当提请省级政府依法依规追究相关责任人的责任。财政部驻各地财政监察专员办事处要密切跟踪地方工作进展，发现问题及时报告。</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二、切实加强融资平台公司融资管理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加快政府职能转变，处理好政府和市场的关系，进一步规范融资平台公司融资行为管理，推动融资平台公司尽快转型为市场化运营的国有企业、依法合规开展市场化融资，地方政府及其所属部门不得干预融资平台公司日常运营和市场化融资。地方政府不得将公益性资产、储备土地注入融资平台公司，不得承诺将储备土地预期出让收入作为融资平台公司偿债资金来源，不得利用政府性资源干预金融机构正常经营行为。金融机构应当依法合规支持融资平台公司市场化融资，服务实体经济发展。进一步健全信息披露机制，融资平台公司在境内外举债融资时，应当向债权人主动书面声明不承担政府融资职能，并明确自2015年1月1日起其新增债务依法不属于地方政府债务。金融机构应当严格规范融资管理，切实加强风险识别和防范，落实企业举债准入条件，按商业化原则履行相关程序，审慎评估举债人财务能力和还款来源。金融机构为融资平台公司等企业提供融资时，不得要求或接受地方政府及其所属部门以担保函、承诺函、安慰函等任何形式提供担保。对地方政府违法违规举债担保形成的债务，按照《国务院办公厅关于印发地方政府性债务风险应急处置预案的通知》（国办函〔2016〕88号）、《财政部关于</w:t>
            </w:r>
            <w:r w:rsidRPr="004849B5">
              <w:rPr>
                <w:rFonts w:ascii="微软雅黑" w:eastAsia="微软雅黑" w:hAnsi="微软雅黑" w:cs="宋体"/>
                <w:color w:val="333333"/>
                <w:kern w:val="0"/>
                <w:sz w:val="27"/>
                <w:szCs w:val="27"/>
              </w:rPr>
              <w:lastRenderedPageBreak/>
              <w:t>印发〈地方政府性债务风险分类处置指南〉的通知》（财预〔2016〕152号）依法妥善处理。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三、规范政府与社会资本方的合作行为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政府应当规范政府和社会资本合作（PPP）。允许地方政府以单独出资或与社会资本共同出资方式设立各类投资基金，依法实行规范的市场化运作，按照利益共享、风险共担的原则，引导社会资本投资经济社会发展的重点领域和薄弱环节，政府可适当让利。地方政府不得以借贷资金出资设立各类投资基金，严禁地方政府利用PPP、政府出资的各类投资基金等方式违法违规变相举债，除国务院另有规定外，地方政府及其所属部门参与PPP项目、设立政府出资的各类投资基金时，不得以任何方式承诺回购社会资本方的投资本金，不得以任何方式承担社会资本方的投资本金损失，不得以任何方式向社会资本方承诺最低收益，不得对有限合伙制基金等任何股权投资方式额外附加条款变相举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四、进一步健全规范的地方政府举债融资机制</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全面贯彻落实依法治国战略，严格执行预算法和国发〔2014〕43号文件规定，健全规范的地方政府举债融资机制，地方政府举债一律采取在国务院批准的限额内发行地方政府债券方式，除此以外地方政府及其所属部门不得以任何方式举借债务。地方政府及其所属部门不得以文件、会议纪要、领导批示等任何形式，要求或决定企业为政府举债或变</w:t>
            </w:r>
            <w:r w:rsidRPr="004849B5">
              <w:rPr>
                <w:rFonts w:ascii="微软雅黑" w:eastAsia="微软雅黑" w:hAnsi="微软雅黑" w:cs="宋体"/>
                <w:color w:val="333333"/>
                <w:kern w:val="0"/>
                <w:sz w:val="27"/>
                <w:szCs w:val="27"/>
              </w:rPr>
              <w:lastRenderedPageBreak/>
              <w:t>相为政府举债。允许地方政府结合财力可能设立或参股担保公司（含各类融资担保基金公司），构建市场化运作的融资担保体系，鼓励政府出资的担保公司依法依规提供融资担保服务，地方政府依法在出资范围内对担保公司承担责任。除外国政府和国际经济组织贷款转贷外，地方政府及其所属部门不得为任何单位和个人的债务以任何方式提供担保，不得承诺为其他任何单位和个人的融资承担偿债责任。地方政府应当科学制定债券发行计划，根据实际需求合理控制节奏和规模，提高债券透明度和资金使用效益，建立信息共享机制。</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五、建立跨部门联合监测和防控机制</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完善统计监测机制，由财政部门会同发展改革、人民银行、银监、证监等部门建设大数据监测平台，统计监测政府中长期支出事项以及融资平台公司举借或发行的银行贷款、资产管理产品、企业债券、公司债券、非金融企业债务融资工具等情况，加强部门信息共享和数据校验，定期通报监测结果。开展跨部门联合监管，建立财政、发展改革、司法行政机关、人民银行、银监、证监等部门以及注册会计师协会、资产评估协会、律师协会等行业自律组织参加的监管机制，对地方政府及其所属部门、融资平台公司、金融机构、中介机构、法律服务机构等的违法违规行为加强跨部门联合惩戒，形成监管合力。对地方政府及其所属部门违法违规举债或担保的，依法依规追究负有直接责任的主管人员和其他直接责任人员的责任；对融资平台公司从事或参与违法违规融资活动的，依法依规追究企业及其相关负责人责任；对金融机构违法违规向地</w:t>
            </w:r>
            <w:r w:rsidRPr="004849B5">
              <w:rPr>
                <w:rFonts w:ascii="微软雅黑" w:eastAsia="微软雅黑" w:hAnsi="微软雅黑" w:cs="宋体"/>
                <w:color w:val="333333"/>
                <w:kern w:val="0"/>
                <w:sz w:val="27"/>
                <w:szCs w:val="27"/>
              </w:rPr>
              <w:lastRenderedPageBreak/>
              <w:t>方政府提供融资、要求或接受地方政府提供担保承诺的，依法依规追究金融机构及其相关负责人和授信审批人员责任；对中介机构、法律服务机构违法违规为融资平台公司出具审计报告、资产评估报告、信用评级报告、法律意见书等的，依法依规追究中介机构、法律服务机构及相关从业人员的责任。</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六、大力推进信息公开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各级政府要贯彻落实中共中央办公厅、国务院办公厅《关于全面推进政务公开工作的意见》等规定和要求，全面推进地方政府及其所属部门举债融资行为的决策、执行、管理、结果等公开，严格公开责任追究，回应社会关切，主动接受社会监督。继续完善地方政府债务信息公开制度，县级以上地方各级政府应当重点公开本地区政府债务限额和余额,以及本级政府债务的规模、种类、利率、期限、还本付息、用途等内容。省级财政部门应当参考国债发行做法，提前公布地方政府债务发行计划。推进政府购买服务公开，地方政府及其所属部门应当重点公开政府购买服务决策主体、购买主体、承接主体、服务内容、合同资金规模、分年财政资金安排、合同期限、绩效评价等内容。推进政府和社会资本合作（PPP）项目信息公开，地方政府及其所属部门应当重点公开政府和社会资本合作（PPP）项目决策主体、政府方和社会资本方信息、合作项目内容和财政承受能力论证、社会资本方采购信息、项目回报机制、合同期限、绩效评价等内容。推进融资平台公司名录公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各地区要充分认识规范地方政府举债融资行为的重要性，把防范风</w:t>
            </w:r>
            <w:r w:rsidRPr="004849B5">
              <w:rPr>
                <w:rFonts w:ascii="微软雅黑" w:eastAsia="微软雅黑" w:hAnsi="微软雅黑" w:cs="宋体"/>
                <w:color w:val="333333"/>
                <w:kern w:val="0"/>
                <w:sz w:val="27"/>
                <w:szCs w:val="27"/>
              </w:rPr>
              <w:lastRenderedPageBreak/>
              <w:t>险放在更加重要的位置，省级政府性债务管理领导小组要切实担负起地方政府债务管理责任，进一步健全制度和机制，自觉维护总体国家安全，牢牢守住不发生区域性系统性风险的底线。各省（自治区、直辖市、计划单列市）政府性债务管理领导小组办公室应当汇总本地区举债融资行为清理整改工作情况，报省级政府同意后，于2017年8月31日前反馈财政部，抄送发展改革委、人民银行、银监会、证监会。</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特此通知。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w:t>
            </w:r>
          </w:p>
          <w:p w:rsidR="004849B5" w:rsidRPr="004849B5" w:rsidRDefault="004849B5" w:rsidP="004849B5">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财政部 发展改革委 司法部 人民银行 银监会 证监会</w:t>
            </w:r>
          </w:p>
          <w:p w:rsidR="004849B5" w:rsidRPr="004849B5" w:rsidRDefault="004849B5" w:rsidP="004849B5">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2017年4月26日</w:t>
            </w:r>
          </w:p>
        </w:tc>
      </w:tr>
    </w:tbl>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rPr>
          <w:lang w:val="zh-CN"/>
        </w:rPr>
      </w:pPr>
    </w:p>
    <w:p w:rsidR="004849B5" w:rsidRDefault="004849B5" w:rsidP="004849B5">
      <w:pPr>
        <w:pStyle w:val="3"/>
        <w:jc w:val="center"/>
        <w:rPr>
          <w:sz w:val="30"/>
          <w:szCs w:val="30"/>
          <w:lang w:val="zh-CN"/>
        </w:rPr>
      </w:pPr>
      <w:bookmarkStart w:id="19" w:name="_Toc12864184"/>
      <w:r w:rsidRPr="004849B5">
        <w:rPr>
          <w:rFonts w:hint="eastAsia"/>
          <w:sz w:val="30"/>
          <w:szCs w:val="30"/>
          <w:lang w:val="zh-CN"/>
        </w:rPr>
        <w:lastRenderedPageBreak/>
        <w:t>财政部关于印发《新增地方政府债务限额分配管理暂行办法》的通知（财预〔</w:t>
      </w:r>
      <w:r w:rsidRPr="004849B5">
        <w:rPr>
          <w:rFonts w:hint="eastAsia"/>
          <w:sz w:val="30"/>
          <w:szCs w:val="30"/>
          <w:lang w:val="zh-CN"/>
        </w:rPr>
        <w:t>2017</w:t>
      </w:r>
      <w:r w:rsidRPr="004849B5">
        <w:rPr>
          <w:rFonts w:hint="eastAsia"/>
          <w:sz w:val="30"/>
          <w:szCs w:val="30"/>
          <w:lang w:val="zh-CN"/>
        </w:rPr>
        <w:t>〕</w:t>
      </w:r>
      <w:r w:rsidRPr="004849B5">
        <w:rPr>
          <w:rFonts w:hint="eastAsia"/>
          <w:sz w:val="30"/>
          <w:szCs w:val="30"/>
          <w:lang w:val="zh-CN"/>
        </w:rPr>
        <w:t>35</w:t>
      </w:r>
      <w:r w:rsidRPr="004849B5">
        <w:rPr>
          <w:rFonts w:hint="eastAsia"/>
          <w:sz w:val="30"/>
          <w:szCs w:val="30"/>
          <w:lang w:val="zh-CN"/>
        </w:rPr>
        <w:t>号）</w:t>
      </w:r>
      <w:bookmarkEnd w:id="19"/>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为规范新增地方政府债务限额管理，我们制定了《新增地方政府债务限额分配管理暂行办法》，现予印发。</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附件：新增地方政府债务限额分配管理暂行办法</w:t>
      </w:r>
    </w:p>
    <w:p w:rsidR="004849B5" w:rsidRPr="004849B5" w:rsidRDefault="004849B5" w:rsidP="004849B5">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财政部</w:t>
      </w:r>
    </w:p>
    <w:p w:rsidR="004849B5" w:rsidRPr="004849B5" w:rsidRDefault="004849B5" w:rsidP="004849B5">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2017年3月23日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附件：</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新增地方政府债务限额分配管理暂行办法</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第一章 总则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第一条 为健全地方政府债务限额管理机制，规范新增地方政府债务限额分配管理，发挥地方政府债务促进经济社会发展的积极作用，防范财政金融风险，根据《中华人民共和国预算法》、《国务院关于加强地方政府性债务管理的意见》（国发〔2014〕43号）、《财政部关于对地方政府债务实行限额管理的通知》（财预〔2015〕225号）等规定，制定本办法。</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第二条 新增地方政府一般债务限额、新增地方政府专项债务限额（以下均简称新增限额）分别按照一般公共预算、政府性基金预算管理方式不同，单独测算。</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第三条 新增限额分配管理应当遵循立足财力水平、防范债务风险、保障融资需求、注重资金效益、公平公开透明的原则。</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第二章 管理权限和程序</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第四条 各省、自治区、直辖市、计划单列市新增限额由财政部在全国人大或其常委会批准的地方政府债务规模内测算，报国务院批准后下达地方。</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第五条 省本级及市县新增限额由省级财政部门在财政部下达的本地区新增限额内测算，报经省级政府批准后，按照财政管理级次向省本级及市县级财政部门下达。</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第三章 新增限额分配</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第六条 新增限额分配选取影响政府债务规模的客观因素，根据各地区债务风险、财力状况等，并统筹考虑中央确定的重大项目支出、地方融资需求等情况，采用因素法测算。各客观因素数据来源于统计年鉴、地方财政预决算及相关部门提供的资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第七条 新增限额分配应当体现正向激励原则，财政实力强、举债空间大、债务风险低、债务管理绩效好的地区多安排，财政实力弱、举</w:t>
      </w:r>
      <w:r w:rsidRPr="004849B5">
        <w:rPr>
          <w:rFonts w:ascii="微软雅黑" w:eastAsia="微软雅黑" w:hAnsi="微软雅黑" w:cs="宋体"/>
          <w:color w:val="333333"/>
          <w:kern w:val="0"/>
          <w:sz w:val="27"/>
          <w:szCs w:val="27"/>
        </w:rPr>
        <w:lastRenderedPageBreak/>
        <w:t>债空间小、债务风险高、债务管理绩效差的地区少安排或不安排。新增限额分配用公式表示为：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某地区新增限额=[该地区财力×系数1+该地区重大项目支出×系数2]×该地区债务风险系数×波动系数+债务管理绩效因素调整+地方申请因素调整。</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系数1和系数2根据各地区财力、重大项目支出以及当年全国新增地方政府债务限额规模计算确定。用公式表示为：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系数1=（某年新增限额-某年新增限额中用于支持重大项目支出额度）/（∑i各地政府财力）</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i=省、自治区、直辖市、计划单列市</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某地区政府财力=某地区一般公共预算财力+某地区政府性基金预算财力</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系数2=（某年新增债务限额中用于支持重大项目支出额度）÷（∑i各地重大项目支出额度）</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i=省、自治区、直辖市、计划单列市</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第八条 本办法第七条所称地区财力分别为一般公共预算财力和政府性基金预算财力，按照政府收支分类科目分项测算，部分收入项目结合每年政府收支分类科目变动作适当调整。公式表示为：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某地区一般公共预算财力=本级一般公共预算收入+中央一般公共预算补助收入-地方一般公共预算上解</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某地区政府性基金预算财力=本级政府性基金预算收入+中央政府性基金预算补助收入-地方政府性基金预算上解</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第九条 重大项目支出主要根据各地区落实党中央、国务院确定的“一带一路”、京津冀协同发展、长江经济带等国家重大战略以及打赢脱贫攻坚战、推进农业供给侧结构性改革、棚户区改造等重点方向的融资需求测算。</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根据经济社会发展程度、基本公共服务保障程度等差异，各地区部分项目额度可以作适当调整。</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第十条 债务风险系数反映地方政府举债空间和偿债风险，根据各地区上年度政府债务限额与标准限额等比较测算。</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某地区地方政府债务标准限额=该地区可以用于偿债的财力状况×全国地方政府债务平均年限。</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全国地方政府债务平均年限是全国地方政府债券余额平均年限和非债券形式债务余额平均年限的加权平均值。用公式表示：</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全国地方政府债务平均年限=（地方政府债券余额×地方政府债券平均年限+非政府债券形式债务余额×非政府债券形式债务平均年限）÷地方政府债务余额</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第十一条 为防范地方政府债务风险，避免债务过快增长和异常波动，保障年度间地方财政运行的稳定性，以全国人大批准的新增限额平均增长率为基准确定波动系数区间，即各地区新增限额增长率最高不超过波动系数区间上限，最低不低于波动系数区间下限。</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第十二条 为促进地方加强政府债务管理，保障债权人合法权益，提高债务资金使用效益，财政部应当根据地方政府债务收支预算编制、项目管理、执行进度、存量债务化解等因素，加快开展地方政府债务管理绩效评估，根据管理绩效情况对该地区予以适当调整。</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第十三条 为合理反映各地区公益性项目建设融资需求，各地区的新增限额不应超过本地区申请额。</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第十四条 按本办法第六条至第十三条测算分地区新增限额后，对一般债务率、专项债务率超过风险警戒线标准的地区，在分配该地区新增限额总量不变的前提下，应当优化其一般债务、专项债务结构，防控地方政府债务风险。</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第十五条 按照地方政府性基金收入项目分类发行专项债券的，在年度地方政府专项债务新增限额内，根据相关领域融资需求、项目期限、政府性基金收入项目规模等因素，测算确定分地区分类专项债务额度，报国务院批准后在下达分地区专项债务新增限额时单独列示。</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第四章 附则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第十六条 各级财政部门及其工作人员在新增地方政府债务限额分配管理工作中，存在违反本办法规定的行为，以及其他滥用职权、玩忽职守、徇私舞弊等违法违纪行为的，按照《预算法》、《公务员法》、《行政监察法》、《财政违法行为处罚处分条例》等国家有关规定追究相应责任；涉嫌犯罪的，移送司法机关处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第十七条 省级财政部门可以参照本办法，综合考虑本地区各级政府融资需求、财政实力、项目管理、风险防控等情况，制定本地区新增限额分配管理的具体规定，报财政部备案。</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第十八条 本办法由财政部负责解释，自公布之日起施行。</w:t>
      </w:r>
    </w:p>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20" w:name="_Toc12864185"/>
      <w:r w:rsidRPr="004849B5">
        <w:rPr>
          <w:rFonts w:hint="eastAsia"/>
          <w:sz w:val="30"/>
          <w:szCs w:val="30"/>
          <w:lang w:val="zh-CN"/>
        </w:rPr>
        <w:lastRenderedPageBreak/>
        <w:t>地方政府专项债务预算管理办法（财预〔</w:t>
      </w:r>
      <w:r w:rsidRPr="004849B5">
        <w:rPr>
          <w:rFonts w:hint="eastAsia"/>
          <w:sz w:val="30"/>
          <w:szCs w:val="30"/>
          <w:lang w:val="zh-CN"/>
        </w:rPr>
        <w:t>2016</w:t>
      </w:r>
      <w:r w:rsidRPr="004849B5">
        <w:rPr>
          <w:rFonts w:hint="eastAsia"/>
          <w:sz w:val="30"/>
          <w:szCs w:val="30"/>
          <w:lang w:val="zh-CN"/>
        </w:rPr>
        <w:t>〕</w:t>
      </w:r>
      <w:r w:rsidRPr="004849B5">
        <w:rPr>
          <w:rFonts w:hint="eastAsia"/>
          <w:sz w:val="30"/>
          <w:szCs w:val="30"/>
          <w:lang w:val="zh-CN"/>
        </w:rPr>
        <w:t>155</w:t>
      </w:r>
      <w:r w:rsidRPr="004849B5">
        <w:rPr>
          <w:rFonts w:hint="eastAsia"/>
          <w:sz w:val="30"/>
          <w:szCs w:val="30"/>
          <w:lang w:val="zh-CN"/>
        </w:rPr>
        <w:t>号）</w:t>
      </w:r>
      <w:bookmarkEnd w:id="20"/>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根据《中华人民共和国预算法》、《国务院关于加强地方政府性债务管理的意见》（国发〔2014〕43号），我部制定了《地方政府专项债务预算管理办法》。现予印发，请认真贯彻执行。 </w:t>
      </w:r>
    </w:p>
    <w:p w:rsidR="004849B5" w:rsidRPr="004849B5" w:rsidRDefault="004849B5" w:rsidP="004849B5">
      <w:pPr>
        <w:widowControl/>
        <w:wordWrap w:val="0"/>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 政 部 </w:t>
      </w:r>
    </w:p>
    <w:p w:rsidR="004849B5" w:rsidRPr="004849B5" w:rsidRDefault="004849B5" w:rsidP="004849B5">
      <w:pPr>
        <w:widowControl/>
        <w:wordWrap w:val="0"/>
        <w:spacing w:before="100" w:beforeAutospacing="1" w:after="100" w:afterAutospacing="1" w:line="432" w:lineRule="auto"/>
        <w:jc w:val="righ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2016年11月9日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附件：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地方政府专项债务预算管理办法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第一章     总则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第一条 为规范地方政府专项债务预算管理，根据《中华人民共和国预算法》、《国务院关于加强地方政府性债务管理的意见》（国发〔2014〕43号）等有关规定，制定本办法。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第二条 本办法所称地方政府专项债务（以下简称专项债务），包括地方政府专项债券（以下简称专项债券）、清理甄别认定的截至2014年12月31日非地方政府债券形式的存量专项债务（以下简称非债券形式专项债务）。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第三条 专项债务收入、安排的支出、还本付息、发行费用纳入政府性基金预算管理。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第四条 专项债务收入通过发行专项债券方式筹措。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省、自治区、直辖市政府为专项债券的发行主体，具体发行工作由省级财政部门负责。设区的市、自治州，县、自治县、不设区的市、市辖区政府（以下简称市县级政府）确需发行专项债券的，应当纳入本省、自治区、直辖市政府性基金预算管理，由省、自治区、直辖市政府统一发行并转贷给市县级政府。经省政府批准，计划单列市政府可以自办发行专项债券。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第五条 专项债务收入应当用于公益性资本支出，不得用于经常性支出。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第六条 专项债务应当有偿还计划和稳定的偿还资金来源。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专项债务本金通过对应的政府性基金收入、专项收入、发行专项债券等偿还。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专项债务利息通过对应的政府性基金收入、专项收入偿还，不得通过发行专项债券偿还。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第七条 专项债务收支应当按照对应的政府性基金收入、专项收入实现项目收支平衡，不同政府性基金科目之间不得调剂。执行中专项债</w:t>
      </w:r>
      <w:r w:rsidRPr="004849B5">
        <w:rPr>
          <w:rFonts w:ascii="微软雅黑" w:eastAsia="微软雅黑" w:hAnsi="微软雅黑" w:cs="宋体"/>
          <w:color w:val="333333"/>
          <w:kern w:val="0"/>
          <w:sz w:val="27"/>
          <w:szCs w:val="27"/>
        </w:rPr>
        <w:lastRenderedPageBreak/>
        <w:t>务对应的政府性基金收入不足以偿还本金和利息的，可以从相应的公益性项目单位调入专项收入弥补。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第八条 非债券形式专项债务应当在国务院规定的期限内置换成专项债券。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第九条 加强地方政府债务管理信息化建设，专项债务预算收支纳入本级财政预算管理信息系统，专项债务管理纳入全国统一的管理信息系统。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第二章 专项债务限额和余额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第十条  财政部在全国人民代表大会或其常务委员会批准的专项债务限额内，根据债务风险、财力状况等因素并统筹考虑国家调控政策、各地区公益性项目建设需求等，提出分地区专项债务限额及当年新增专项债务限额方案，报国务院批准后下达省级财政部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省级财政部门应当于每年10月底前，提出本地区下一年度增加举借专项债务和安排公益性资本支出项目的建议，经省、自治区、直辖市政府批准后报财政部。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第十一条  省级财政部门在财政部下达的本地区专项债务限额内，根据债务风险、财力状况等因素并统筹考虑本地区公益性项目建设需求等，提出省本级及所辖各市县当年专项债务限额方案，报省、自治区、直辖市政府批准后下达市县级财政部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市县级财政部门应当提前提出省级代发专项债券和安排公益性资本支出项目的建议，经本级政府批准后按程序报省级财政部门。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第十二条 省、自治区、直辖市应当在专项债务限额内举借专项债务，专项债务余额不得超过本地区专项债务限额。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省、自治区、直辖市发行专项债券偿还到期专项债务本金计划，由省级财政部门统筹考虑本级和各市县实际需求提出，报省、自治区、直辖市政府批准后按规定组织实施。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第三章 预算编制和批复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第十三条 增加举借专项债务收入，以下内容应当列入预算调整方案：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（一）省、自治区、直辖市在新增专项债务限额内筹措的专项债券收入；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（二）市县级政府从上级政府转贷的专项债务收入。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专项债务收入应当在政府性基金预算收入合计线下反映，省级列入“专项债务收入”下对应的政府性基金债务收入科目，市县级列入“地方政府专项债务转贷收入”下对应的政府性基金债务转贷收入科目。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第十四条 增加举借专项债务安排的支出应当列入预算调整方案，包括本级支出和转贷下级支出。专项债务支出应当明确到具体项目，纳入财政支出预算项目库管理，并与中期财政规划相衔接。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安排本级的支出，应当在政府性基金预算支出合计线上反映，根据支出用途列入相关预算科目；转贷下级支出应当在政府性基金预算支出合计线下反映，列入“债务转贷支出”下对应的政府性基金债务转贷支出科目。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第十五条  专项债务还本支出应当根据当年到期专项债务规模、政府性基金财力、调入专项收入等因素合理预计、妥善安排，并列入年度预算草案。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专项债务还本支出应当在政府性基金预算支出合计线下反映，列入“地方政府专项债务还本支出”下对应的政府性基金债务还本支出科目。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第十六条 专项债务利息和发行费用应当根据专项债务规模、利率、费率等情况合理预计，并列入政府性基金预算支出统筹安排。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专项债务利息、发行费用支出应当在政府性基金预算支出合计线上反映。专项债务利息支出列入“地方政府专项债务付息支出”下对应的政府性基金债务付息支出科目，发行费用支出列入“地方政府专项债务发行费用支出”下对应的政府性基金债务发行费用支出科目。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第十七条 增加举借专项债务和相应安排的支出，财政部门负责具体编制政府性基金预算调整方案，由本级政府提请本级人民代表大会常务委员会批准。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第十八条  专项债务转贷下级政府的，财政部门应当在本级人民代表大会或其常务委员会批准后，及时将专项债务转贷的预算下达有关市县级财政部门。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接受专项债务转贷的市县级政府在本级人民代表大会或其常务委员会批准后，应当及时与上级财政部门签订转贷协议。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第四章  预算执行和决算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第十九条  省级财政部门统筹考虑本级和市县情况，根据预算调整方案、偿还专项债务本金需求和债券市场状况等因素，制定全省专项债券发行计划，合理确定期限结构和发行时点。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第二十条 省级财政部门发行专项债券募集的资金，应当缴入省级国库，并根据预算安排和还本计划拨付资金。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代市县级政府发行专项债券募集的资金，由省级财政部门按照转贷协议及时拨付市县级财政部门。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第二十一条 省级财政部门应当按照规定做好专项债券发行的信息披露和信用评级等相关工作。披露的信息应当包括政府性基金预算财力</w:t>
      </w:r>
      <w:r w:rsidRPr="004849B5">
        <w:rPr>
          <w:rFonts w:ascii="微软雅黑" w:eastAsia="微软雅黑" w:hAnsi="微软雅黑" w:cs="宋体"/>
          <w:color w:val="333333"/>
          <w:kern w:val="0"/>
          <w:sz w:val="27"/>
          <w:szCs w:val="27"/>
        </w:rPr>
        <w:lastRenderedPageBreak/>
        <w:t>情况、发行专项债券计划和安排支出项目方案、偿债计划和资金来源，以及其他按照规定应当公开的信息。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第二十二条 省级财政部门应当在发行专项债券后3个工作日内，将专项债券发行情况报财政部备案，并抄送财政部驻当地财政监察专员办事处（以下简称专员办）。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第二十三条 地方各级财政部门应当依据预算调整方案及专项债券发行规定的预算科目和用途，使用专项债券资金。确需调整支出用途的，应当按照规定程序办理。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第二十四条 省级财政部门应当按照合同约定，及时偿还全省、自治区、直辖市专项债券到期本金、利息以及支付发行费用。市县级财政部门应当按照转贷协议约定，及时向省级财政部门缴纳本地区或本级应当承担的还本付息、发行费用等资金。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第二十五条 市县级财政部门未按时足额向省级财政部门缴纳专项债券还本付息、发行费用等资金的，省级财政部门可以采取适当方式扣回，并将违约情况向市场披露。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第二十六条 预算年度终了，地方各级财政部门编制政府性基金预算决算草案时，应当全面、准确反映专项债务收入、安排的支出、还本付息和发行费用等情况。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第五章 非债券形式专项债务纳入预算管理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第二十七条  县级以上地方各级财政部门应当将非债券形式专项债务纳入本地区专项债务限额，实行预算管理。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对非债券形式专项债务，应当由政府、债权人、债务人通过合同方式，约定在国务院规定的期限内置换成专项债券的时限，转移偿还义务。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偿还义务转移给地方政府后，地方财政部门应当根据相关材料登记总预算会计账。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第二十八条  对非债券形式专项债务，债务人为地方政府及其部门的，应当在国务院规定的期限内置换成专项债券；债务人为企事业单位或个人，且债权人同意在国务院规定的期限内置换成专项债券的，地方政府应当予以置换，债权人不同意在国务院规定的期限内置换成专项债券的，不再计入地方政府债务，由债务人自行偿还，对应的专项债务限额由财政部按照程序予以调减。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第六章  监督管理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第二十九条 县级以上地方各级财政部门应当按照法律、法规和财政部规定，向社会公开专项债务限额、余额、期限结构、使用、项目收支、偿还等情况，主动接受监督。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第三十条 县级以上地方各级财政部门应当建立和完善相关制度，加强对本地区专项债务的管理和监督。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第三十一条 专员办应当加强对所在地专项债务的监督，督促地方规范专项债务的举借、使用、偿还等行为，发现违反法律法规和财政管理规定的行为，及时报告财政部。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第三十二条 违反本办法规定情节严重的，财政部可以暂停相关地区专项债券发行资格。违反法律、行政法规的，依法追究有关人员责任；涉嫌犯罪的，移送司法机关依法处理。 </w:t>
      </w:r>
    </w:p>
    <w:p w:rsidR="004849B5" w:rsidRPr="004849B5" w:rsidRDefault="004849B5" w:rsidP="004849B5">
      <w:pPr>
        <w:widowControl/>
        <w:wordWrap w:val="0"/>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第七章  附 则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第三十三条 省、自治区、直辖市可以根据本办法制定实施细则。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第三十四条 本办法由财政部负责解释。 </w:t>
      </w:r>
    </w:p>
    <w:p w:rsidR="004849B5" w:rsidRPr="004849B5" w:rsidRDefault="004849B5" w:rsidP="004849B5">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第三十五条 本办法自印发之日起施行。 </w:t>
      </w:r>
    </w:p>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21" w:name="_Toc12864186"/>
      <w:r w:rsidRPr="004849B5">
        <w:rPr>
          <w:rFonts w:hint="eastAsia"/>
          <w:sz w:val="30"/>
          <w:szCs w:val="30"/>
          <w:lang w:val="zh-CN"/>
        </w:rPr>
        <w:lastRenderedPageBreak/>
        <w:t>财政部关于印发《地方预决算公开操作规程》的通知（财预〔</w:t>
      </w:r>
      <w:r w:rsidRPr="004849B5">
        <w:rPr>
          <w:rFonts w:hint="eastAsia"/>
          <w:sz w:val="30"/>
          <w:szCs w:val="30"/>
          <w:lang w:val="zh-CN"/>
        </w:rPr>
        <w:t>2016</w:t>
      </w:r>
      <w:r w:rsidRPr="004849B5">
        <w:rPr>
          <w:rFonts w:hint="eastAsia"/>
          <w:sz w:val="30"/>
          <w:szCs w:val="30"/>
          <w:lang w:val="zh-CN"/>
        </w:rPr>
        <w:t>〕</w:t>
      </w:r>
      <w:r w:rsidRPr="004849B5">
        <w:rPr>
          <w:rFonts w:hint="eastAsia"/>
          <w:sz w:val="30"/>
          <w:szCs w:val="30"/>
          <w:lang w:val="zh-CN"/>
        </w:rPr>
        <w:t>143</w:t>
      </w:r>
      <w:r w:rsidRPr="004849B5">
        <w:rPr>
          <w:rFonts w:hint="eastAsia"/>
          <w:sz w:val="30"/>
          <w:szCs w:val="30"/>
          <w:lang w:val="zh-CN"/>
        </w:rPr>
        <w:t>号）</w:t>
      </w:r>
      <w:bookmarkEnd w:id="21"/>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各省、自治区、直辖市、计划单列市财政厅（局）；财政部驻各省、自治区、直辖市、计划单列市财政监察专员办事处：</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现将《地方预决算公开操作规程》印发给你们，请认真贯彻执行。</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附件：地方预决算公开操作规程</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 政 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2016年10月27日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附件：</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地方预决算公开操作规程</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一、总 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第一条 为贯彻落实党的十八届三中全会关于建立全面规范、公开透明预算制度要求和党中央、国务院有关决策部署，进一步改进地方预决算公开工作，根据《中华人民共和国预算法》、《中华人民共和国政府信息公开条例》等法律法规规定，制定本规程。</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第二条  本规程所称地方预决算，是指经地方各级人民代表大会或其常务委员会批准的预算、预算调整、决算、预算执行情况的报告及报</w:t>
      </w:r>
      <w:r w:rsidRPr="004849B5">
        <w:rPr>
          <w:rFonts w:ascii="微软雅黑" w:eastAsia="微软雅黑" w:hAnsi="微软雅黑" w:cs="宋体"/>
          <w:color w:val="333333"/>
          <w:kern w:val="0"/>
          <w:sz w:val="27"/>
          <w:szCs w:val="27"/>
        </w:rPr>
        <w:lastRenderedPageBreak/>
        <w:t>表（以下简称政府预决算），以及经地方各级政府财政部门批复的部门预算、决算及报表（以下简称部门预决算）。</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第三条 地方预决算公开的原则是：以公开为常态，不公开为例外，依法依规公开预决算。除涉及国家秘密外，不得少公开、不公开应当公开的事项，保证公开内容全面、真实、完整。通过公开进一步促进财政改革，促进财税政策落实，促进财政管理规范，促进政府效能提高。</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第四条 地方预决算公开的基本要求是：公开及时，内容准确，形式规范。坚持问题导向，重视公开实效，聚焦社会热点，回应公众关切。方便社会监督，公开内容公众找得着、看得懂、能监督。</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二、预决算公开职责</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第五条 地方各级财政部门在本级政府信息公开工作主管部门领导下，组织开展本地区政府预决算公开工作，制定本地区预决算公开的规定，负责向社会公开政府预决算；指导和督促本级各部门和下级财政部门预决算公开工作，向本级政府信息公开工作主管部门和上一级政府财政部门报告本地区预决算公开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第六条 地方各部门在本级政府信息公开工作主管部门领导下，组织开展本部门预决算公开工作，制定本部门预决算公开规定，负责向社会公开本部门预决算，向本级政府信息公开工作主管部门和本级政府财政部门报告本部门预决算公开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第七条 地方各级财政部门和各部门应当树立依法公开观念，增强主动公开意识，切实履行主动公开责任；加强沟通合作,相互配合，共同推进本地区预决算公开工作。</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三、预决算公开时间</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第八条 政府预决算应当在本级人民代表大会或其常务委员会批准后20日内向社会公开。地方各级财政部门必须在法律规定的时限内公开，鼓励公开时间适当提前。</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第九条 部门预决算应当在本级政府财政部门批复后20日内向社会公开。地方各部门必须在法律规定的时限内公开，鼓励公开时间适当提前，原则上在同一天集中公开。</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四、政府预决算公开内容</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第十条 地方各级财政部门应当公开一般公共预算、政府性基金预算、国有资本经营预算、社会保险基金预算四本预算。涉及国家秘密的除外。</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第十一条 地方一般公共预算原则上至少公开6张报表，包括：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一般公共预算收入表。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一般公共预算支出表。</w:t>
      </w:r>
      <w:r w:rsidRPr="004849B5">
        <w:rPr>
          <w:rFonts w:ascii="微软雅黑" w:eastAsia="微软雅黑" w:hAnsi="微软雅黑" w:cs="宋体" w:hint="eastAsia"/>
          <w:color w:val="333333"/>
          <w:kern w:val="0"/>
          <w:sz w:val="27"/>
          <w:szCs w:val="27"/>
        </w:rPr>
        <w:t>③</w:t>
      </w:r>
      <w:r w:rsidRPr="004849B5">
        <w:rPr>
          <w:rFonts w:ascii="微软雅黑" w:eastAsia="微软雅黑" w:hAnsi="微软雅黑" w:cs="宋体"/>
          <w:color w:val="333333"/>
          <w:kern w:val="0"/>
          <w:sz w:val="27"/>
          <w:szCs w:val="27"/>
        </w:rPr>
        <w:t>一般公共预算本级支出表。</w:t>
      </w:r>
      <w:r w:rsidRPr="004849B5">
        <w:rPr>
          <w:rFonts w:ascii="微软雅黑" w:eastAsia="微软雅黑" w:hAnsi="微软雅黑" w:cs="宋体" w:hint="eastAsia"/>
          <w:color w:val="333333"/>
          <w:kern w:val="0"/>
          <w:sz w:val="27"/>
          <w:szCs w:val="27"/>
        </w:rPr>
        <w:t>④</w:t>
      </w:r>
      <w:r w:rsidRPr="004849B5">
        <w:rPr>
          <w:rFonts w:ascii="微软雅黑" w:eastAsia="微软雅黑" w:hAnsi="微软雅黑" w:cs="宋体"/>
          <w:color w:val="333333"/>
          <w:kern w:val="0"/>
          <w:sz w:val="27"/>
          <w:szCs w:val="27"/>
        </w:rPr>
        <w:t>一般公共预算本级基本支出表。</w:t>
      </w:r>
      <w:r w:rsidRPr="004849B5">
        <w:rPr>
          <w:rFonts w:ascii="微软雅黑" w:eastAsia="微软雅黑" w:hAnsi="微软雅黑" w:cs="宋体" w:hint="eastAsia"/>
          <w:color w:val="333333"/>
          <w:kern w:val="0"/>
          <w:sz w:val="27"/>
          <w:szCs w:val="27"/>
        </w:rPr>
        <w:t>⑤</w:t>
      </w:r>
      <w:r w:rsidRPr="004849B5">
        <w:rPr>
          <w:rFonts w:ascii="微软雅黑" w:eastAsia="微软雅黑" w:hAnsi="微软雅黑" w:cs="宋体"/>
          <w:color w:val="333333"/>
          <w:kern w:val="0"/>
          <w:sz w:val="27"/>
          <w:szCs w:val="27"/>
        </w:rPr>
        <w:t>一般公共预算税收返还和转移支付表。</w:t>
      </w:r>
      <w:r w:rsidRPr="004849B5">
        <w:rPr>
          <w:rFonts w:ascii="微软雅黑" w:eastAsia="微软雅黑" w:hAnsi="微软雅黑" w:cs="宋体" w:hint="eastAsia"/>
          <w:color w:val="333333"/>
          <w:kern w:val="0"/>
          <w:sz w:val="27"/>
          <w:szCs w:val="27"/>
        </w:rPr>
        <w:t>⑥</w:t>
      </w:r>
      <w:r w:rsidRPr="004849B5">
        <w:rPr>
          <w:rFonts w:ascii="微软雅黑" w:eastAsia="微软雅黑" w:hAnsi="微软雅黑" w:cs="宋体"/>
          <w:color w:val="333333"/>
          <w:kern w:val="0"/>
          <w:sz w:val="27"/>
          <w:szCs w:val="27"/>
        </w:rPr>
        <w:t>政府一般债务限额和余额情况表。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地方本级汇总的一般公共预算“三公”经费，包括预算总额，以及因公出国（境）费、公务用车购置及运行费（区分公务用车购置费、公务用车运行费两项）、公务接待费分项数额，由地方各级财政部门负责公开，并对增减变化情况进行说明。</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第十二条 地方政府性基金预算原则上至少公开4张报表，包括：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政府性基金收入表。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政府性基金支出表。</w:t>
      </w:r>
      <w:r w:rsidRPr="004849B5">
        <w:rPr>
          <w:rFonts w:ascii="微软雅黑" w:eastAsia="微软雅黑" w:hAnsi="微软雅黑" w:cs="宋体" w:hint="eastAsia"/>
          <w:color w:val="333333"/>
          <w:kern w:val="0"/>
          <w:sz w:val="27"/>
          <w:szCs w:val="27"/>
        </w:rPr>
        <w:t>③</w:t>
      </w:r>
      <w:r w:rsidRPr="004849B5">
        <w:rPr>
          <w:rFonts w:ascii="微软雅黑" w:eastAsia="微软雅黑" w:hAnsi="微软雅黑" w:cs="宋体"/>
          <w:color w:val="333333"/>
          <w:kern w:val="0"/>
          <w:sz w:val="27"/>
          <w:szCs w:val="27"/>
        </w:rPr>
        <w:t>政府性基金转移支付表。</w:t>
      </w:r>
      <w:r w:rsidRPr="004849B5">
        <w:rPr>
          <w:rFonts w:ascii="微软雅黑" w:eastAsia="微软雅黑" w:hAnsi="微软雅黑" w:cs="宋体" w:hint="eastAsia"/>
          <w:color w:val="333333"/>
          <w:kern w:val="0"/>
          <w:sz w:val="27"/>
          <w:szCs w:val="27"/>
        </w:rPr>
        <w:t>④</w:t>
      </w:r>
      <w:r w:rsidRPr="004849B5">
        <w:rPr>
          <w:rFonts w:ascii="微软雅黑" w:eastAsia="微软雅黑" w:hAnsi="微软雅黑" w:cs="宋体"/>
          <w:color w:val="333333"/>
          <w:kern w:val="0"/>
          <w:sz w:val="27"/>
          <w:szCs w:val="27"/>
        </w:rPr>
        <w:t>政府专项债务限额和余额情况表。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第十三条 地方国有资本经营预算原则上至少公开2张报表，包括：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国有资本经营预算收入表。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国有资本经营预算支出表。对下安排转移支付的应当公开国有资本经营预算转移支付表。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第十四条 地方社会保险基金预算原则上至少公开2张报表，包括：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社会保险基金收入表。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社会保险基金支出表。没有数据的表格应当列出空表并说明。</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第十五条 地方一般公共预算、政府性基金预算、国有资本经营预算和社会保险基金预算报表中涉及本级支出的，应当公开到功能分类项级科目。一般公共预算基本支出应当公开到经济性质分类款级科目，专项转移支付应当分地区、分项目公开。</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第十六条 地方各级财政部门在公开政府预决算时，应当对财政转移支付安排、举借政府债务、预算绩效工作开展情况等重要事项进行解释、说明。</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五、部门预决算公开内容</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第十七条 地方部门预决算公开的内容为地方各级财政部门批复的部门预决算及报表，包括部门收支总体情况和财政拨款收支情况，其中：财政拨款收支情况包括一般公共预算、政府性基金预算、国有资本经营预算拨款收支情况。涉及国家秘密的除外。</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第十八条 部门收支总体情况原则上至少公开3张报表，包括：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部门收支总体情况表。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部门收入总体情况表。</w:t>
      </w:r>
      <w:r w:rsidRPr="004849B5">
        <w:rPr>
          <w:rFonts w:ascii="微软雅黑" w:eastAsia="微软雅黑" w:hAnsi="微软雅黑" w:cs="宋体" w:hint="eastAsia"/>
          <w:color w:val="333333"/>
          <w:kern w:val="0"/>
          <w:sz w:val="27"/>
          <w:szCs w:val="27"/>
        </w:rPr>
        <w:t>③</w:t>
      </w:r>
      <w:r w:rsidRPr="004849B5">
        <w:rPr>
          <w:rFonts w:ascii="微软雅黑" w:eastAsia="微软雅黑" w:hAnsi="微软雅黑" w:cs="宋体"/>
          <w:color w:val="333333"/>
          <w:kern w:val="0"/>
          <w:sz w:val="27"/>
          <w:szCs w:val="27"/>
        </w:rPr>
        <w:t>部门支出总体情况表。</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财政拨款收支情况原则上至少公开5张报表，包括：</w:t>
      </w:r>
      <w:r w:rsidRPr="004849B5">
        <w:rPr>
          <w:rFonts w:ascii="微软雅黑" w:eastAsia="微软雅黑" w:hAnsi="微软雅黑" w:cs="宋体" w:hint="eastAsia"/>
          <w:color w:val="333333"/>
          <w:kern w:val="0"/>
          <w:sz w:val="27"/>
          <w:szCs w:val="27"/>
        </w:rPr>
        <w:t>①</w:t>
      </w:r>
      <w:r w:rsidRPr="004849B5">
        <w:rPr>
          <w:rFonts w:ascii="微软雅黑" w:eastAsia="微软雅黑" w:hAnsi="微软雅黑" w:cs="宋体"/>
          <w:color w:val="333333"/>
          <w:kern w:val="0"/>
          <w:sz w:val="27"/>
          <w:szCs w:val="27"/>
        </w:rPr>
        <w:t>财政拨款收支总体情况表。</w:t>
      </w:r>
      <w:r w:rsidRPr="004849B5">
        <w:rPr>
          <w:rFonts w:ascii="微软雅黑" w:eastAsia="微软雅黑" w:hAnsi="微软雅黑" w:cs="宋体" w:hint="eastAsia"/>
          <w:color w:val="333333"/>
          <w:kern w:val="0"/>
          <w:sz w:val="27"/>
          <w:szCs w:val="27"/>
        </w:rPr>
        <w:t>②</w:t>
      </w:r>
      <w:r w:rsidRPr="004849B5">
        <w:rPr>
          <w:rFonts w:ascii="微软雅黑" w:eastAsia="微软雅黑" w:hAnsi="微软雅黑" w:cs="宋体"/>
          <w:color w:val="333333"/>
          <w:kern w:val="0"/>
          <w:sz w:val="27"/>
          <w:szCs w:val="27"/>
        </w:rPr>
        <w:t>一般公共预算支出情况表。</w:t>
      </w:r>
      <w:r w:rsidRPr="004849B5">
        <w:rPr>
          <w:rFonts w:ascii="微软雅黑" w:eastAsia="微软雅黑" w:hAnsi="微软雅黑" w:cs="宋体" w:hint="eastAsia"/>
          <w:color w:val="333333"/>
          <w:kern w:val="0"/>
          <w:sz w:val="27"/>
          <w:szCs w:val="27"/>
        </w:rPr>
        <w:t>③</w:t>
      </w:r>
      <w:r w:rsidRPr="004849B5">
        <w:rPr>
          <w:rFonts w:ascii="微软雅黑" w:eastAsia="微软雅黑" w:hAnsi="微软雅黑" w:cs="宋体"/>
          <w:color w:val="333333"/>
          <w:kern w:val="0"/>
          <w:sz w:val="27"/>
          <w:szCs w:val="27"/>
        </w:rPr>
        <w:t>一般公共预算基本支出情况表。</w:t>
      </w:r>
      <w:r w:rsidRPr="004849B5">
        <w:rPr>
          <w:rFonts w:ascii="微软雅黑" w:eastAsia="微软雅黑" w:hAnsi="微软雅黑" w:cs="宋体" w:hint="eastAsia"/>
          <w:color w:val="333333"/>
          <w:kern w:val="0"/>
          <w:sz w:val="27"/>
          <w:szCs w:val="27"/>
        </w:rPr>
        <w:t>④</w:t>
      </w:r>
      <w:r w:rsidRPr="004849B5">
        <w:rPr>
          <w:rFonts w:ascii="微软雅黑" w:eastAsia="微软雅黑" w:hAnsi="微软雅黑" w:cs="宋体"/>
          <w:color w:val="333333"/>
          <w:kern w:val="0"/>
          <w:sz w:val="27"/>
          <w:szCs w:val="27"/>
        </w:rPr>
        <w:t>一般公共预算“三公”经费支出情况表。</w:t>
      </w:r>
      <w:r w:rsidRPr="004849B5">
        <w:rPr>
          <w:rFonts w:ascii="微软雅黑" w:eastAsia="微软雅黑" w:hAnsi="微软雅黑" w:cs="宋体" w:hint="eastAsia"/>
          <w:color w:val="333333"/>
          <w:kern w:val="0"/>
          <w:sz w:val="27"/>
          <w:szCs w:val="27"/>
        </w:rPr>
        <w:t>⑤</w:t>
      </w:r>
      <w:r w:rsidRPr="004849B5">
        <w:rPr>
          <w:rFonts w:ascii="微软雅黑" w:eastAsia="微软雅黑" w:hAnsi="微软雅黑" w:cs="宋体"/>
          <w:color w:val="333333"/>
          <w:kern w:val="0"/>
          <w:sz w:val="27"/>
          <w:szCs w:val="27"/>
        </w:rPr>
        <w:t>政府性基金预算支出情况表。没有数据的表格应当列出空表并说明。</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第十九条 一般公共预算支出情况表公开到功能分类项级科目。一般公共预算基本支出表公开到经济性质分类款级科目。一般公共预算“三公”经费支出表按“因公出国（境）费”、“公务用车购置及运行费”、“公务接待费”公开，其中，“公务用车购置及运行费”应当细化到“公务用车购置费”、“公务用车运行费”两个项目。</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第二十条 地方各部门公开预决算的同时，应当一并公开本部门的职责、机构设置情况、预决算收支增减变化、机关运行经费安排以及政府采购等情况的说明，并对专业性较强的名词进行解释。</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各地区应结合工作进展情况，推动各部门逐步公开国有资产占用、重点项目预算的绩效目标和绩效评价结果等情况。</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本条第一款所称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六、预决算公开方式</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第二十一条 地方各级财政部门和各部门建有门户网站的，应当在门户网站公开预决算，并永久保留，其中当年预决算应当公开在网站醒目位置；没有门户网站的，应当采取措施在公开媒体公开预决算，并积极推动门户网站建设。</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第二十二条 自2017年起，地方各级财政部门应当在本级政府或财政部门门户网站上设立预决算公开统一平台（或专栏），将政府预决算、部门预决算在平台（或专栏）上集中公开。对在统一平台公开政府预决算、部门预决算，应当编制目录，对公开内容进行分类、分级，方便公众查阅和监督。</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七、涉密事项管理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第二十三条 地方各级财政部门和各部门应当建立健全预决算公开保密审查机制，严格依照《中华人民共和国保守国家秘密法》、《中华人民共和国政府信息公开条例》等法律法规规定进行审查。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第二十四条 地方各级财政部门和各部门在依法公开政府预决算、部门预决算时，对涉及国家秘密的内容不予公开。部分内容涉及国家秘密的，在确保安全的前提下,按照下列原则处理：</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（一）同一功能分类款级科目下，大部分项级科目涉密的，仅公开到该款级科目；</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（二）同一功能分类类级科目下，大部分款级科目涉密的，仅公开到该类级科目；</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（三）个别功能分类款级科目或项级科目涉密的，除不公开该涉密科目外，同一级次的“其他支出”科目也不公开。</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八、保障措施</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第二十五条 地方各级财政部门应当加强对本地区预决算公开工作的指导，及时制定预决算公开规范，明确政府预决算和部门预决算公开时间、内容、程序，选择部分工作基础好的下级财政部门和有关部门制作公开模版，提供下级财政部门、本级各部门参照，提高本地区政府预决算、部门预决算公开的规范化水平。</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第二十六条 地方各级财政部门要将预决算公开情况纳入地方财政工作考核范围，选择预决算公开的及时性、完整性、准确性、细化程度，以及公开形式是否规范、组织是否切实有效等指标，结合社会公众评价，对本级各部门和下级财政部门预决算公开情况进行考核。各部门要结合实际，将预决算公开纳入绩效考核范围，增强职能部门和相关人员责任。</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第二十七条 地方各级财政部门应当在本级政府信息公开工作主管部门领导下，开展预决算公开检查。财政部驻各省、自治区、直辖市、计划单列市财政监察专员办事处（以下简称专员办）应当按照国务院要求，将地方预决算公开工作纳入日常监督范围，对地方预决算公开情况进行监督检查。</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地方各级财政部门、专员办应当对预决算公开检查结果进行量化评价、排名，排名情况在系统内通报。检查中发现的问题要坚决曝光，监督整改。整改不力的可采取通报、约谈和现场督导等方式，督促整改到位。</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第二十八条 地方预决算公开检查中发现依法应当追究责任的，应当移送政府信息公开工作主管部门和监察机关，建议其依照《中华人民共和国预算法》、《中华人民共和国政府信息公开条例》等法律法规的规定，对直接负责的主管人员和其他直接责任人员给予处分。</w:t>
      </w:r>
    </w:p>
    <w:p w:rsidR="004849B5" w:rsidRPr="004849B5" w:rsidRDefault="004849B5" w:rsidP="004849B5">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九、附 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lastRenderedPageBreak/>
        <w:t xml:space="preserve">　　第二十九条 本规程自印发之日起执行。地方各级财政部门可结合实际情况制定实施细则。</w:t>
      </w:r>
    </w:p>
    <w:p w:rsidR="004849B5" w:rsidRPr="004849B5" w:rsidRDefault="004849B5" w:rsidP="004849B5">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4849B5">
        <w:rPr>
          <w:rFonts w:ascii="微软雅黑" w:eastAsia="微软雅黑" w:hAnsi="微软雅黑" w:cs="宋体"/>
          <w:color w:val="333333"/>
          <w:kern w:val="0"/>
          <w:sz w:val="27"/>
          <w:szCs w:val="27"/>
        </w:rPr>
        <w:t xml:space="preserve">　　地方各级财政部门在执行中发现问题，应当及时向财政部报告。</w:t>
      </w:r>
    </w:p>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22" w:name="_Toc12864187"/>
      <w:r w:rsidRPr="004849B5">
        <w:rPr>
          <w:rFonts w:hint="eastAsia"/>
          <w:sz w:val="30"/>
          <w:szCs w:val="30"/>
          <w:lang w:val="zh-CN"/>
        </w:rPr>
        <w:lastRenderedPageBreak/>
        <w:t>财政部关于印发《普惠金融发展专项资金管理办法》的通知（财金〔</w:t>
      </w:r>
      <w:r w:rsidRPr="004849B5">
        <w:rPr>
          <w:rFonts w:hint="eastAsia"/>
          <w:sz w:val="30"/>
          <w:szCs w:val="30"/>
          <w:lang w:val="zh-CN"/>
        </w:rPr>
        <w:t>2016</w:t>
      </w:r>
      <w:r w:rsidRPr="004849B5">
        <w:rPr>
          <w:rFonts w:hint="eastAsia"/>
          <w:sz w:val="30"/>
          <w:szCs w:val="30"/>
          <w:lang w:val="zh-CN"/>
        </w:rPr>
        <w:t>〕</w:t>
      </w:r>
      <w:r w:rsidRPr="004849B5">
        <w:rPr>
          <w:rFonts w:hint="eastAsia"/>
          <w:sz w:val="30"/>
          <w:szCs w:val="30"/>
          <w:lang w:val="zh-CN"/>
        </w:rPr>
        <w:t>85</w:t>
      </w:r>
      <w:r w:rsidRPr="004849B5">
        <w:rPr>
          <w:rFonts w:hint="eastAsia"/>
          <w:sz w:val="30"/>
          <w:szCs w:val="30"/>
          <w:lang w:val="zh-CN"/>
        </w:rPr>
        <w:t>号）</w:t>
      </w:r>
      <w:bookmarkEnd w:id="22"/>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各省、自治区、直辖市、计划单列市财政厅（局），财政部驻各省、自治区、直辖市、计划单列市财政监察专员办事处，新疆生产建设兵团财务局：</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为贯彻落实党中央、国务院《推进普惠金融发展规划（2016-2020年）》（国发〔2015〕74号），大力支持普惠金融发展，加快建立与全面建成小康社会相适应的普惠金融服务和保障体系，加强普惠金融发展专项资金管理，提高财政资金使用效益，我们会同有关部门制定了《普惠金融发展专项资金管理办法》，现印发给你们，请认真遵照执行。</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为做好2016年普惠金融发展专项资金申请及审核拨付工作，请各省级财政部门于2016年10月20日前，将辖区内2016年专项资金申请材料汇总审核后报送财政部和财政部驻当地财政监察专员办事处（以下简称专员办）。请各地专员办于2016年11月5日前，出具对省级财政部门专项资金申请材料的审核意见报送财政部，并抄送省级财政部门。</w:t>
      </w:r>
    </w:p>
    <w:p w:rsidR="004849B5" w:rsidRPr="004849B5" w:rsidRDefault="004849B5" w:rsidP="004849B5">
      <w:pPr>
        <w:shd w:val="clear" w:color="auto" w:fill="FFFFFF"/>
        <w:wordWrap w:val="0"/>
        <w:jc w:val="right"/>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财政部</w:t>
      </w:r>
    </w:p>
    <w:p w:rsidR="004849B5" w:rsidRPr="004849B5" w:rsidRDefault="004849B5" w:rsidP="004849B5">
      <w:pPr>
        <w:shd w:val="clear" w:color="auto" w:fill="FFFFFF"/>
        <w:wordWrap w:val="0"/>
        <w:jc w:val="right"/>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jc w:val="right"/>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2016年9月24日</w:t>
      </w:r>
    </w:p>
    <w:p w:rsidR="004849B5" w:rsidRPr="004849B5" w:rsidRDefault="004849B5" w:rsidP="004849B5">
      <w:pPr>
        <w:shd w:val="clear" w:color="auto" w:fill="FFFFFF"/>
        <w:wordWrap w:val="0"/>
        <w:jc w:val="left"/>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附件：</w:t>
      </w:r>
    </w:p>
    <w:p w:rsidR="004849B5" w:rsidRPr="004849B5" w:rsidRDefault="004849B5" w:rsidP="004849B5">
      <w:pPr>
        <w:shd w:val="clear" w:color="auto" w:fill="FFFFFF"/>
        <w:wordWrap w:val="0"/>
        <w:jc w:val="center"/>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普惠金融发展专项资金管理办法</w:t>
      </w:r>
    </w:p>
    <w:p w:rsidR="004849B5" w:rsidRPr="004849B5" w:rsidRDefault="004849B5" w:rsidP="004849B5">
      <w:pPr>
        <w:shd w:val="clear" w:color="auto" w:fill="FFFFFF"/>
        <w:wordWrap w:val="0"/>
        <w:jc w:val="left"/>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第一章总则</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第一条为贯彻落实《推进普惠金融发展规划（2016-2020年）》（国发〔2015〕74号），加快建立普惠金融服务和保障体系，加强普惠金融发展专项资金管理，根据《中华人民共和国预算法》、《</w:t>
      </w:r>
      <w:hyperlink r:id="rId9" w:history="1">
        <w:r w:rsidRPr="004849B5">
          <w:rPr>
            <w:rFonts w:ascii="微软雅黑" w:eastAsia="微软雅黑" w:hAnsi="微软雅黑" w:cs="宋体" w:hint="eastAsia"/>
            <w:color w:val="333333"/>
            <w:kern w:val="0"/>
            <w:sz w:val="27"/>
            <w:szCs w:val="27"/>
          </w:rPr>
          <w:t>国务院关于改革和完善中央对地方转移支付制度的意见</w:t>
        </w:r>
      </w:hyperlink>
      <w:r w:rsidRPr="004849B5">
        <w:rPr>
          <w:rFonts w:ascii="微软雅黑" w:eastAsia="微软雅黑" w:hAnsi="微软雅黑" w:cs="宋体" w:hint="eastAsia"/>
          <w:color w:val="333333"/>
          <w:kern w:val="0"/>
          <w:sz w:val="27"/>
          <w:szCs w:val="27"/>
        </w:rPr>
        <w:t>》（</w:t>
      </w:r>
      <w:hyperlink r:id="rId10" w:history="1">
        <w:r w:rsidRPr="004849B5">
          <w:rPr>
            <w:rFonts w:ascii="微软雅黑" w:eastAsia="微软雅黑" w:hAnsi="微软雅黑" w:cs="宋体" w:hint="eastAsia"/>
            <w:color w:val="333333"/>
            <w:kern w:val="0"/>
            <w:sz w:val="27"/>
            <w:szCs w:val="27"/>
          </w:rPr>
          <w:t>国发〔2014〕71号</w:t>
        </w:r>
      </w:hyperlink>
      <w:r w:rsidRPr="004849B5">
        <w:rPr>
          <w:rFonts w:ascii="微软雅黑" w:eastAsia="微软雅黑" w:hAnsi="微软雅黑" w:cs="宋体" w:hint="eastAsia"/>
          <w:color w:val="333333"/>
          <w:kern w:val="0"/>
          <w:sz w:val="27"/>
          <w:szCs w:val="27"/>
        </w:rPr>
        <w:t>）等有关规定，制定本办法。</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条本办法所称普惠金融发展专项资金（以下简称专项资金），是指中央财政用于支持普惠金融发展的专项转移支付资金，包括县域金融机构涉农贷款增量奖励、农村金融机构定向费用补贴、创业担保贷款贴息及奖补、政府和社会资本合作（PPP）项目以奖代补等4个使用方向。</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条专项资金遵循惠民生、保基本、有重点、可持续的原则，综合运用业务奖励、费用补贴、贷款贴息、以奖代补等方式，引导地方各级人民政府、金融机构以及社会资金支持普惠金融发展，弥补市场失灵，保障农民、小微企业、城镇低收入人群、贫困人群和残疾人、老年人等我国普惠金融重点服务对象的基础金融服务可得性和适用性。</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第四条专项资金采取因素法分配，由中央财政按年度将预算指标定</w:t>
      </w:r>
      <w:r w:rsidRPr="004849B5">
        <w:rPr>
          <w:rFonts w:ascii="微软雅黑" w:eastAsia="微软雅黑" w:hAnsi="微软雅黑" w:cs="宋体" w:hint="eastAsia"/>
          <w:color w:val="333333"/>
          <w:kern w:val="0"/>
          <w:sz w:val="27"/>
          <w:szCs w:val="27"/>
        </w:rPr>
        <w:lastRenderedPageBreak/>
        <w:t>额切块下达至省级财政部门。地方财政部门根据中央财政下达的预算指标，按照有关要求安排使用。</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第五条专项资金的使用和管理遵循公开透明、定向使用、科学规范的基本原则，确保资金使用合理、安全、高效，充分发挥财政资金杠杆作用，引导金融服务向普惠方向延伸。</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第六条财政部负责专项资金的预算管理和资金拨付，并组织对资金使用情况进行预算监管和绩效管理。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第二章县域金融机构涉农贷款增量奖励政策</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第七条为发挥财政资金对县域经济发展的支持和推动作用，专项资金安排支出用于对符合条件的县域金融机构给予一定奖励，引导其加大涉农贷款投放力度。</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第八条对符合条件的县域金融机构当年涉农贷款平均余额同比增长超过13%的部分，财政部门可按照不超过2%的比例给予奖励。对年末不良贷款率高于3%且同比上升的县域金融机构，不予奖励。</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实施涉农贷款增量奖励政策的地区包括河北、山西、内蒙古、辽宁、吉林、黑龙江、江苏、安徽、福建、江西、山东、河南、湖北、湖南、</w:t>
      </w:r>
      <w:r w:rsidRPr="004849B5">
        <w:rPr>
          <w:rFonts w:ascii="微软雅黑" w:eastAsia="微软雅黑" w:hAnsi="微软雅黑" w:cs="宋体" w:hint="eastAsia"/>
          <w:color w:val="333333"/>
          <w:kern w:val="0"/>
          <w:sz w:val="27"/>
          <w:szCs w:val="27"/>
        </w:rPr>
        <w:lastRenderedPageBreak/>
        <w:t>广西、海南、四川、重庆、贵州、云南、西藏、陕西、甘肃、青海、新疆等25个省（区、市）。财政部将根据奖励政策实施效果和中央、地方财力情况，结合地方意愿适时调整实施奖励政策的地区范围。</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第九条奖励资金于下一年度拨付，纳入县域金融机构收入核算。</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条本章所称县域金融机构，是指县级（含县、县级市、县级区，不含县级以上城市的中心区）区域内具有法人资格的金融机构（以下简称法人金融机构）和其他金融机构（不含农业发展银行）在县及县以下的分支机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本章所称涉农贷款，是指符合《</w:t>
      </w:r>
      <w:hyperlink r:id="rId11" w:history="1">
        <w:r w:rsidRPr="004849B5">
          <w:rPr>
            <w:rFonts w:ascii="微软雅黑" w:eastAsia="微软雅黑" w:hAnsi="微软雅黑" w:cs="宋体" w:hint="eastAsia"/>
            <w:color w:val="333333"/>
            <w:kern w:val="0"/>
            <w:sz w:val="27"/>
            <w:szCs w:val="27"/>
          </w:rPr>
          <w:t>涉农贷款专项统计制度</w:t>
        </w:r>
      </w:hyperlink>
      <w:r w:rsidRPr="004849B5">
        <w:rPr>
          <w:rFonts w:ascii="微软雅黑" w:eastAsia="微软雅黑" w:hAnsi="微软雅黑" w:cs="宋体" w:hint="eastAsia"/>
          <w:color w:val="333333"/>
          <w:kern w:val="0"/>
          <w:sz w:val="27"/>
          <w:szCs w:val="27"/>
        </w:rPr>
        <w:t>》（</w:t>
      </w:r>
      <w:hyperlink r:id="rId12" w:history="1">
        <w:r w:rsidRPr="004849B5">
          <w:rPr>
            <w:rFonts w:ascii="微软雅黑" w:eastAsia="微软雅黑" w:hAnsi="微软雅黑" w:cs="宋体" w:hint="eastAsia"/>
            <w:color w:val="333333"/>
            <w:kern w:val="0"/>
            <w:sz w:val="27"/>
            <w:szCs w:val="27"/>
          </w:rPr>
          <w:t>银发〔2007〕246号</w:t>
        </w:r>
      </w:hyperlink>
      <w:r w:rsidRPr="004849B5">
        <w:rPr>
          <w:rFonts w:ascii="微软雅黑" w:eastAsia="微软雅黑" w:hAnsi="微软雅黑" w:cs="宋体" w:hint="eastAsia"/>
          <w:color w:val="333333"/>
          <w:kern w:val="0"/>
          <w:sz w:val="27"/>
          <w:szCs w:val="27"/>
        </w:rPr>
        <w:t>）中的“农户贷款”、“农村企业及各类组织农林牧渔业贷款”和“农村企业及各类组织支农贷款”等3类贷款。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涉农贷款平均余额，是指县域金融机构在年度内每个月末的涉农贷款余额平均值，即每个月末的涉农贷款余额之和除以月数。如果县域金融机构为当年新设，则涉农贷款平均余额为自其开业之月（含）起每个月末的涉农贷款余额平均值，可予奖励的涉农贷款增量按照当年涉农贷款平均余额的50%核算。</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第三章农村金融机构定向费用补贴政策</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一条为引导和鼓励金融机构主动填补农村金融服务空白，专项资金安排支出用于对符合条件的新型农村金融机构和西部基础金融服务薄弱地区的银行业金融机构（网点）给予一定补贴，支持农村金融组织体系建设，扩大农村金融服务覆盖面。</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第十二条对符合下列各项条件的新型农村金融机构，财政部门可按照不超过其当年贷款平均余额的2%给予补贴：</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（一）当年贷款平均余额同比增长；</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（二）村镇银行的年均存贷比高于50%（含50%）；</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（三）当年涉农贷款和小微企业贷款平均余额占全部贷款平均余额的比例高于70%（含70%）；</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（四）财政部门规定的其他条件。</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对西部基础金融服务薄弱地区的银行业金融机构（网点），财政部门可按照不超过其当年贷款平均余额的2%给予补贴。新型农村金融机构不重复享受补贴。</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xml:space="preserve">　　第十三条补贴资金于下一年度拨付，纳入金融机构收入统一核算。</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四条东、中、西部地区农村金融机构（网点）可享受补贴政策的期限，分别为自该农村金融机构（网点）开业当年（含）起的3、4、5年内。农村金融机构（网点）开业超过享受补贴政策的年数后，无论该农村金融机构（网点）是否曾经获得过补贴，都不再享受补贴。如果农村金融机构（网点）开业时间晚于当年的6月30日，但开业当年未享受补贴，则享受补贴政策的期限从开业次年起开始计算。</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东、中、西部地区划分标准按照《关于明确东中西部地区划分的意见》（财办预〔2005〕5号）规定执行（下同）。</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第十五条对以下几类贷款不予补贴，不计入享受补贴的贷款基数：</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（一）当年任一时点单户贷款余额超过500万元的贷款；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（二）注册地位于县级（含县、县级市、县级区，不含县级以上城市的中心区）以下区域的新型农村金融机构，其在经监管部门批准的县级经营区域以外发放的贷款；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（三）注册地位于县级以上区域的新型农村金融机构，其网点在所处县级区域以外发放的贷款；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（四）西部基础金融服务薄弱地区的银行业金融机构（网点）在其所在乡（镇）以外发放的贷款。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第十六条本章所称新型农村金融机构，是指经银监会批准设立的村镇银行、贷款公司、农村资金互助社3类农村金融机构。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本章所称基础金融服务薄弱地区，详见财政部2010年发布的基础金融服务薄弱地区名单。</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存（贷）款平均余额，是指金融机构（网点）在年度内每个月末的存（贷）款余额平均值，即每个月末的存（贷）款余额之和除以月数。如果金融机构（网点）为当年新设，则存（贷）款平均余额为自其开业之月（含）起每个月末的存（贷）款余额平均值。</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月末贷款余额，是指金融机构在每个月末的各项贷款余额，不包括金融机构的票据贴现、对非存款类金融机构的拆放款项，以及自上年度开始以来从其他金融机构受让的信贷资产。具体统计口径以《中国人民银行金融统计制度》及相关规定为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本章所称年均存贷比，是指金融机构当年的贷款平均余额与存款平均余额之比。</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涉农贷款，是指符合《涉农贷款专项统计制度》（银发〔2007〕246号）规定的涉农贷款，不包括金融机构的票据贴现、对非存款类金融机构的拆放款项，以及自上年度开始以来从其他金融机构受让的信贷资产。</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本章所称小微企业，是指符合《</w:t>
      </w:r>
      <w:hyperlink r:id="rId13" w:history="1">
        <w:r w:rsidRPr="004849B5">
          <w:rPr>
            <w:rFonts w:ascii="微软雅黑" w:eastAsia="微软雅黑" w:hAnsi="微软雅黑" w:cs="宋体" w:hint="eastAsia"/>
            <w:color w:val="333333"/>
            <w:kern w:val="0"/>
            <w:sz w:val="27"/>
            <w:szCs w:val="27"/>
          </w:rPr>
          <w:t>中小企业划型标准规定</w:t>
        </w:r>
      </w:hyperlink>
      <w:r w:rsidRPr="004849B5">
        <w:rPr>
          <w:rFonts w:ascii="微软雅黑" w:eastAsia="微软雅黑" w:hAnsi="微软雅黑" w:cs="宋体" w:hint="eastAsia"/>
          <w:color w:val="333333"/>
          <w:kern w:val="0"/>
          <w:sz w:val="27"/>
          <w:szCs w:val="27"/>
        </w:rPr>
        <w:t>》（</w:t>
      </w:r>
      <w:hyperlink r:id="rId14" w:history="1">
        <w:r w:rsidRPr="004849B5">
          <w:rPr>
            <w:rFonts w:ascii="微软雅黑" w:eastAsia="微软雅黑" w:hAnsi="微软雅黑" w:cs="宋体" w:hint="eastAsia"/>
            <w:color w:val="333333"/>
            <w:kern w:val="0"/>
            <w:sz w:val="27"/>
            <w:szCs w:val="27"/>
          </w:rPr>
          <w:t>工信部联企业〔2011〕300号</w:t>
        </w:r>
      </w:hyperlink>
      <w:r w:rsidRPr="004849B5">
        <w:rPr>
          <w:rFonts w:ascii="微软雅黑" w:eastAsia="微软雅黑" w:hAnsi="微软雅黑" w:cs="宋体" w:hint="eastAsia"/>
          <w:color w:val="333333"/>
          <w:kern w:val="0"/>
          <w:sz w:val="27"/>
          <w:szCs w:val="27"/>
        </w:rPr>
        <w:t>）规定的小型、微型企业。</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第四章创业担保贷款贴息及奖补政策</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七条为实施更加积极的就业政策，以创业创新带动就业，助力大众创业、万众创新，专项资金安排支出用于对符合政策规定条件的创业担保贷款给予一定贴息，减轻创业者和用人单位负担，支持劳动者自主创业、自谋职业，引导用人单位创造更多就业岗位，推动解决特殊困难群体的结构性就业矛盾。</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第十八条对按照《</w:t>
      </w:r>
      <w:hyperlink r:id="rId15" w:history="1">
        <w:r w:rsidRPr="004849B5">
          <w:rPr>
            <w:rFonts w:ascii="微软雅黑" w:eastAsia="微软雅黑" w:hAnsi="微软雅黑" w:cs="宋体" w:hint="eastAsia"/>
            <w:color w:val="333333"/>
            <w:kern w:val="0"/>
            <w:sz w:val="27"/>
            <w:szCs w:val="27"/>
          </w:rPr>
          <w:t>国务院关于进一步做好新形势下就业创业工作的意见</w:t>
        </w:r>
      </w:hyperlink>
      <w:r w:rsidRPr="004849B5">
        <w:rPr>
          <w:rFonts w:ascii="微软雅黑" w:eastAsia="微软雅黑" w:hAnsi="微软雅黑" w:cs="宋体" w:hint="eastAsia"/>
          <w:color w:val="333333"/>
          <w:kern w:val="0"/>
          <w:sz w:val="27"/>
          <w:szCs w:val="27"/>
        </w:rPr>
        <w:t>》（</w:t>
      </w:r>
      <w:hyperlink r:id="rId16" w:history="1">
        <w:r w:rsidRPr="004849B5">
          <w:rPr>
            <w:rFonts w:ascii="微软雅黑" w:eastAsia="微软雅黑" w:hAnsi="微软雅黑" w:cs="宋体" w:hint="eastAsia"/>
            <w:color w:val="333333"/>
            <w:kern w:val="0"/>
            <w:sz w:val="27"/>
            <w:szCs w:val="27"/>
          </w:rPr>
          <w:t>国发〔2015〕23号</w:t>
        </w:r>
      </w:hyperlink>
      <w:r w:rsidRPr="004849B5">
        <w:rPr>
          <w:rFonts w:ascii="微软雅黑" w:eastAsia="微软雅黑" w:hAnsi="微软雅黑" w:cs="宋体" w:hint="eastAsia"/>
          <w:color w:val="333333"/>
          <w:kern w:val="0"/>
          <w:sz w:val="27"/>
          <w:szCs w:val="27"/>
        </w:rPr>
        <w:t>）、《中国人民银行财政部人力资源社会保障部关于实施创业担保贷款支持创业就业工作的通知》（银发〔2016〕202号）等文件规定发放的个人和小微企业创业担保贷款，财政部门可按照国家规定的贴息标准予以贴息。</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享受财政贴息支持的创业担保贷款，作为借款人的个人和小微企业应通过人力资源社会保障部门的借款主体资格审核，持有相关身份证明文件，且经担保基金运营管理机构和经办银行审核后，具备相关创业能力，符合相关担保和贷款条件。</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十九条专项资金贴息的个人创业担保贷款，最高贷款额度为10万元，贷款期限最长不超过3年，贷款利率可在贷款合同签订日贷款基础利率的基础上上浮一定幅度，具体标准为贫困地区（含国家扶贫开发工作重点县、全国14个集中连片特殊困难地区，下同）上浮不超过3个百分点，中、西部地区上浮不超过2个百分点，东部地区上浮不超过1个百分点，实际贷款利率由经办银行在上述利率浮动上限内与创业担保贷款担保基金运营管理机构协商确定。除助学贷款、扶贫贷款、首套住房贷款、购车贷款以外，个人创业担保贷款申请人及其家庭成员（以户为单位）自提交创业担保贷款申请之日起向前追溯5年内，应没有商业银行其他贷款记录。</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专项资金贴息的小微企业创业担保贷款，贷款额度由经办银行根据小微企业实际招用符合条件的人数合理确定，最高不超过200万元，贷款期限最长不超过2年，贷款利率由经办银行根据借款人的经营状况、信用情况等与借款人协商确定。对已享受财政部门贴息支持的小微企业创业担保贷款，政府不再通过创业担保贷款担保基金提供担保形式的支</w:t>
      </w:r>
      <w:r w:rsidRPr="004849B5">
        <w:rPr>
          <w:rFonts w:ascii="微软雅黑" w:eastAsia="微软雅黑" w:hAnsi="微软雅黑" w:cs="宋体" w:hint="eastAsia"/>
          <w:color w:val="333333"/>
          <w:kern w:val="0"/>
          <w:sz w:val="27"/>
          <w:szCs w:val="27"/>
        </w:rPr>
        <w:lastRenderedPageBreak/>
        <w:t>持。</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条创业担保贷款财政贴息，在国家规定的贷款额度、利率和贴息期限内，按照实际的贷款额度、利率和计息期限计算。其中，对贫困地区符合条件的个人创业担保贷款，财政部门给予全额贴息；对其他地区符合条件的个人创业担保贷款，财政部门第1年给予全额贴息，第2年贴息2/3，第3年贴息1/3.对符合条件的小微企业创业担保贷款，财政部门按照贷款合同签订日贷款基础利率的50%给予贴息。对展期、逾期的创业担保贷款，财政部门不予贴息。</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经省级或计划单列市人民政府同意，各地可适当放宽创业担保贷款借款人条件、提高贷款利率上限，相关创业担保贷款由地方财政部门自行决定贴息，具体贴息标准和条件由各省（区、市）结合实际予以确定，因此而产生的贴息资金支出由地方财政部门全额承担。对地方财政部门自行安排贴息的创业担保贷款，要与中央财政贴息支持的创业担保贷款分离管理，分账核算，并纳入创业担保贷款财政贴息资金管理信息系统统一管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一条经办银行按照国家财务会计制度和创业担保贷款政策有关规定，计算创业担保贷款应贴息金额，按季度向地市级财政部门申请贴息资金。地市级财政部门审核通过后，在1个月内向经办银行拨付。对省直管县，经省级财政部门同意，可由县级财政部门负责相关贴息资</w:t>
      </w:r>
      <w:r w:rsidRPr="004849B5">
        <w:rPr>
          <w:rFonts w:ascii="微软雅黑" w:eastAsia="微软雅黑" w:hAnsi="微软雅黑" w:cs="宋体" w:hint="eastAsia"/>
          <w:color w:val="333333"/>
          <w:kern w:val="0"/>
          <w:sz w:val="27"/>
          <w:szCs w:val="27"/>
        </w:rPr>
        <w:lastRenderedPageBreak/>
        <w:t>金审核拨付工作。</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第二十二条建立创业担保贷款奖励机制。按各地当年新发放创业担保贷款总额的1%，奖励创业担保贷款工作成效突出的经办银行、创业担保贷款担保基金运营管理机构等单位，用于其工作经费补助。</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创业担保贷款奖励性补助资金的奖励基数，包括经省级人民政府同意、由地方财政部门自行决定贴息的创业担保贷款。对主要以基础利率或低于基础利率发放贷款的经办银行，各地财政部门可在奖励资金分配上给予适度倾斜。</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三条本章所称创业担保贷款，是指以具备规定条件的创业者个人或小微企业为借款人，由创业担保贷款担保基金提供担保，由经办此项贷款的银行业金融机构发放，由财政部门给予贴息（小微企业自行选择贴息或担保中的一项），用于支持个人创业或小微企业扩大就业的贷款业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本章所称担保基金，是指由地方政府出资设立的，用于为创业担保贷款提供担保的专项基金。担保基金由政府指定的公共服务机构或其委托的融资性担保机构负责运营管理。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本章所称经办银行，是指由各级人民银行分支机构会同财政、人力</w:t>
      </w:r>
      <w:r w:rsidRPr="004849B5">
        <w:rPr>
          <w:rFonts w:ascii="微软雅黑" w:eastAsia="微软雅黑" w:hAnsi="微软雅黑" w:cs="宋体" w:hint="eastAsia"/>
          <w:color w:val="333333"/>
          <w:kern w:val="0"/>
          <w:sz w:val="27"/>
          <w:szCs w:val="27"/>
        </w:rPr>
        <w:lastRenderedPageBreak/>
        <w:t>资源社会保障部门通过公开招标等方式确定的为符合条件的个人和小微企业提供创业担保贷款的银行业金融机构。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第五章政府和社会资本合作项目以奖代补政策</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四条为吸引社会资本参与公共服务项目的投资、运营管理，提高公共服务供给能力和效率，专项资金安排支出用于对符合条件的PPP示范项目和转型为PPP项目的地方融资平台公司存量项目给予一定奖励，提高项目操作的规范性，保障项目实施质量，同时，鼓励融资平台公司化解存量地方政府债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五条PPP项目以奖代补政策面向中央财政PPP示范项目和转型为PPP项目的地方融资平台公司存量项目。其中，对中央财政PPP示范项目中的新建项目，财政部将在项目完成采购确定社会资本合作方后，按照项目投资规模给予一定奖励，具体为投资规模3亿元以下的项目奖励300万元，3亿元（含3亿元）至10亿元的项目奖励500万元，10亿元以上（含10亿元）的项目奖励800万元。对符合条件、规范实施的转型为PPP项目的地方融资平台公司存量项目，财政部将在择优评选后，按照项目转型实际化解存量地方政府债务（政府负有直接偿债责任的一类债务）规模的2%给予奖励。中央财政PPP示范项目中的存量项目，优先享受奖励资金支持。享受以奖代补政策支持的地方融资平台公司存量项目，通过转型为PPP模式化解的项目债务应属于</w:t>
      </w:r>
      <w:r w:rsidRPr="004849B5">
        <w:rPr>
          <w:rFonts w:ascii="微软雅黑" w:eastAsia="微软雅黑" w:hAnsi="微软雅黑" w:cs="宋体" w:hint="eastAsia"/>
          <w:color w:val="333333"/>
          <w:kern w:val="0"/>
          <w:sz w:val="27"/>
          <w:szCs w:val="27"/>
        </w:rPr>
        <w:lastRenderedPageBreak/>
        <w:t>清理甄别认定的截至2014年末的存量政府债务。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第二十六条PPP项目以奖代补资金作为综合财力补助，纳入项目公司（或社会资本方）、融资平台公司收入统一核算。新建示范项目奖励资金由财政部门统筹用于项目前期费用补助等相关财政支出。</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七条享受以奖代补政策支持的PPP项目，必须严格执行国务院和财政部等部门出台的一系列制度文件，科学编制实施方案，合理选择运作方式，认真做好评估论证，择优选择社会资本，加强项目实施监管，切实保障项目选择的适当性、交易结构的合理性、合作伙伴选择的竞争性、财政承受能力的中长期可持续性和项目实施的公开性。</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项目采购要严格执行《中华人民共和国政府采购法》、《</w:t>
      </w:r>
      <w:hyperlink r:id="rId17" w:history="1">
        <w:r w:rsidRPr="004849B5">
          <w:rPr>
            <w:rFonts w:ascii="微软雅黑" w:eastAsia="微软雅黑" w:hAnsi="微软雅黑" w:cs="宋体" w:hint="eastAsia"/>
            <w:color w:val="333333"/>
            <w:kern w:val="0"/>
            <w:sz w:val="27"/>
            <w:szCs w:val="27"/>
          </w:rPr>
          <w:t>政府和社会资本合作项目政府采购管理办法</w:t>
        </w:r>
      </w:hyperlink>
      <w:r w:rsidRPr="004849B5">
        <w:rPr>
          <w:rFonts w:ascii="微软雅黑" w:eastAsia="微软雅黑" w:hAnsi="微软雅黑" w:cs="宋体" w:hint="eastAsia"/>
          <w:color w:val="333333"/>
          <w:kern w:val="0"/>
          <w:sz w:val="27"/>
          <w:szCs w:val="27"/>
        </w:rPr>
        <w:t>》（</w:t>
      </w:r>
      <w:hyperlink r:id="rId18" w:history="1">
        <w:r w:rsidRPr="004849B5">
          <w:rPr>
            <w:rFonts w:ascii="微软雅黑" w:eastAsia="微软雅黑" w:hAnsi="微软雅黑" w:cs="宋体" w:hint="eastAsia"/>
            <w:color w:val="333333"/>
            <w:kern w:val="0"/>
            <w:sz w:val="27"/>
            <w:szCs w:val="27"/>
          </w:rPr>
          <w:t>财库〔2014〕215号</w:t>
        </w:r>
      </w:hyperlink>
      <w:r w:rsidRPr="004849B5">
        <w:rPr>
          <w:rFonts w:ascii="微软雅黑" w:eastAsia="微软雅黑" w:hAnsi="微软雅黑" w:cs="宋体" w:hint="eastAsia"/>
          <w:color w:val="333333"/>
          <w:kern w:val="0"/>
          <w:sz w:val="27"/>
          <w:szCs w:val="27"/>
        </w:rPr>
        <w:t>）等规定，充分引入竞争机制，保证项目实施质量。项目合同约定的政府和社会资本合作期限原则上不低于10年。</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享受以奖代补政策支持的PPP项目必须纳入财政部PPP综合信息平台项目库，并按规定将项目信息及获得的奖补资金信息录入PPP综合信息平台。</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第二十八条不符合示范项目要求被调出示范项目名单的项目，采用</w:t>
      </w:r>
      <w:r w:rsidRPr="004849B5">
        <w:rPr>
          <w:rFonts w:ascii="微软雅黑" w:eastAsia="微软雅黑" w:hAnsi="微软雅黑" w:cs="宋体" w:hint="eastAsia"/>
          <w:color w:val="333333"/>
          <w:kern w:val="0"/>
          <w:sz w:val="27"/>
          <w:szCs w:val="27"/>
        </w:rPr>
        <w:lastRenderedPageBreak/>
        <w:t>建设-移交（BT）方式的项目，通过保底承诺、回购安排、明股实债、融资租赁等方式进行变相融资的项目，以及合同变更成本高、融资结构调整成本高、原债权人不同意转换、不能化解政府债务风险、不能降低项目债务成本、不能实现物有所值的地方融资平台公司存量转型项目，不享受以奖代补政策支持。已经在其他中央财政专项资金中获得奖励性资金支持的PPP项目，不再纳入以奖代补政策奖励范围。</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二十九条申请以奖代补资金支持的PPP项目，应按规定向地方财政部门报送专项资金申请材料，经省级财政部门汇总审核后报送财政部。申请材料包括以奖代补资金申请书、项目规范实施承诺书、项目实施方案、物有所值评价报告、财政承受能力论证报告、采购文件、合同文本等重要资料，以及与以奖代补资金申请或审核相关的其他材料。</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第三十条对省级财政部门报送的PPP项目以奖代补专项资金申请材料，财政部将组织专家进行综合评审，择优选定符合以奖代补政策支持条件的项目。</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PPP项目评审采取集中封闭方式，由专家组对省级财政部门报送的备选项目进行定性和定量评审。评审专家组由PPP领域的咨询机构、学术机构、财务、法律、行业等方面的外部专家，以及财政部门、行业主管部门等政府机构的内部专家共同组成，开展评审时从专家库中随机抽取。项目评审实行回避原则，评审专家不对自身或所在单位参与的项</w:t>
      </w:r>
      <w:r w:rsidRPr="004849B5">
        <w:rPr>
          <w:rFonts w:ascii="微软雅黑" w:eastAsia="微软雅黑" w:hAnsi="微软雅黑" w:cs="宋体" w:hint="eastAsia"/>
          <w:color w:val="333333"/>
          <w:kern w:val="0"/>
          <w:sz w:val="27"/>
          <w:szCs w:val="27"/>
        </w:rPr>
        <w:lastRenderedPageBreak/>
        <w:t>目进行评审。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定性评审侧重审查项目合规性，主要包括主体合规、客体合规、程序合规等。其中，国有企业和融资平台公司作为政府方签署PPP项目合同的项目，以及未按照国家有关规定要求剥离政府性债务并明确公告不再承担地方政府举债融资职能的本地融资平台公司作为社会资本方的项目，不符合主体合规要求。</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定量评审侧重审查项目质量，主要包括申报材料的规范性、项目实施方案的合理性、财政中长期的可持续性、项目采用PPP模式的适用性、项目融资的可获得性、项目的实施进度、项目的示范推广价值、化解债务或增加公共服务供给的有效性等。</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项目评审由财政部PPP工作领导小组办公室和PPP中心共同制定评审方案，并具体负责组织实施。经专家组评审形成初步评审结果后，报财政部PPP工作领导小组审核。审核通过后形成最终评审结果，由财政部按规定向省级财政部门拨付奖励资金。</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一条享受以奖代补政策支持的PPP项目所在地财政部门要认真做好项目物有所值评价和财政承受能力论证，有效控制政府支付责任，合理确定财政补助金额。省级财政部门要统计监测相关项目的政府支付责任，加强对项目合同执行的监督管理，督促下级财政部门严格履</w:t>
      </w:r>
      <w:r w:rsidRPr="004849B5">
        <w:rPr>
          <w:rFonts w:ascii="微软雅黑" w:eastAsia="微软雅黑" w:hAnsi="微软雅黑" w:cs="宋体" w:hint="eastAsia"/>
          <w:color w:val="333333"/>
          <w:kern w:val="0"/>
          <w:sz w:val="27"/>
          <w:szCs w:val="27"/>
        </w:rPr>
        <w:lastRenderedPageBreak/>
        <w:t>行合同约定，有效保护社会资本合法权益，切实维护政府信用。</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对以奖代补政策支持的PPP项目，有关省级财政部门要切实履行财政职能，因地制宜、主动作为，会同项目实施单位和有关部门，为项目的规范实施创造良好环境。积极推动项目加快实施进度，确保项目规范实施、按期落地，形成一批管理水平高、化债效果好、产出结果优、示范效应强的样板项目。</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第六章资金分配和拨付</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二条专项资金由财政部按照各地区可予奖励的县域金融机构涉农贷款平均余额增量、可予补贴的农村金融机构贷款平均余额、创业担保贷款贴息及奖补资金需求、符合条件的中央财政PPP示范项目投资规模和地方融资平台公司存量项目转型化债规模等因素进行分配。具体计算公式如下：</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分配给某地区的专项资金总额=〔（经核定该地区可予奖励的县域金融机构涉农贷款平均余额增量×该地区中央财政分担比例）÷∑（经核定各地区可予奖励的县域金融机构涉农贷款平均余额增量×相应地区中央财政分担比例）×相应权重+（经核定该地区可予补贴的农村金融机构贷款平均余额×该地区中央财政分担比例）÷∑（经核定各地区可予补贴的农村金融机构贷款平均余额×相应地区中央财政分担比例）×相应</w:t>
      </w:r>
      <w:r w:rsidRPr="004849B5">
        <w:rPr>
          <w:rFonts w:ascii="微软雅黑" w:eastAsia="微软雅黑" w:hAnsi="微软雅黑" w:cs="宋体" w:hint="eastAsia"/>
          <w:color w:val="333333"/>
          <w:kern w:val="0"/>
          <w:sz w:val="27"/>
          <w:szCs w:val="27"/>
        </w:rPr>
        <w:lastRenderedPageBreak/>
        <w:t>权重+（经核定该地区创业担保贷款贴息及奖补资金需求×该地区中央财政分担比例）÷∑（经核定各地区创业担保贷款贴息及奖补资金需求×相应地区中央财政分担比例）×相应权重+经核定该地区PPP项目以奖代补资金需求÷∑经核定各地区PPP项目以奖代补资金需求×相应权重〕×（本年专项资金总规模+∑上年末各地区结余专项资金规模）－该地区上年末结余专项资金规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各地区可予奖励的县域金融机构涉农贷款平均余额增量、可予补贴的农村金融机构贷款平均余额、创业担保贷款贴息及奖补资金需求依据各地财政部门上报情况和财政部驻当地财政监察专员办事处（以下简称专员办）审核意见确定。各地区PPP项目以奖代补资金需求依据各地财政部门上报情况、当地专员办审核意见、PPP项目以奖代补专家评审结果确定。相应权重根据上年各方向资金使用情况、中央财政预算安排等因素综合确定。</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省级财政部门应参照中央财政的分配方法，在预算规模内合理确定本地区专项资金分配方案，科学规划专项资金各支出方向的资金安排，确保各支出方向的资金总体均衡，统筹兼顾本地普惠金融各领域发展需要，切实提高专项资金使用效益。</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第三十三条用于PPP项目以奖代补的资金由中央财政从专项资金中全额安排，其他领域资金由中央和地方财政共担，东、中、西部地区</w:t>
      </w:r>
      <w:r w:rsidRPr="004849B5">
        <w:rPr>
          <w:rFonts w:ascii="微软雅黑" w:eastAsia="微软雅黑" w:hAnsi="微软雅黑" w:cs="宋体" w:hint="eastAsia"/>
          <w:color w:val="333333"/>
          <w:kern w:val="0"/>
          <w:sz w:val="27"/>
          <w:szCs w:val="27"/>
        </w:rPr>
        <w:lastRenderedPageBreak/>
        <w:t>中央财政与地方财政的分担比例分别为3：7、5：5、7：3.地方财政分担资金应主要由省级财政安排，原则上东、中、西部地区省级财政负担比例应分别占地方财政分担资金总额的30%、50%、70%以上，市、县级财政分担比例由省级财政部门统筹确定。</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对未按规定分担资金的地区，经当地专员办或审计部门书面确认后，取消下年度获得相关使用方向中央财政资金的资格。</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第三十四条财政部可以根据专项资金使用情况、中央与地方事权和支出责任划分情况、中央和地方财力情况等，适时调整专项资金分配方法和中央与地方财政分担比例。</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五条省级财政部门负责汇总审核辖区内专项资金申请材料，于每年3月31日前报送财政部和专员办。申请材料包括本年度专项资金申请情况说明、专项资金申请明细表、中央对地方专项转移支付区域绩效目标申报表、省级财政部门审核意见、上年度专项资金使用情况报告，以及与专项资金申请或审核相关的其他材料。</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对未按规定时间报送专项资金申请材料的地区，财政部和专员办不予受理，视同该年度不申请专项资金处理。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第三十六条专员办对省级财政部门报送的专项资金申请材料进行</w:t>
      </w:r>
      <w:r w:rsidRPr="004849B5">
        <w:rPr>
          <w:rFonts w:ascii="微软雅黑" w:eastAsia="微软雅黑" w:hAnsi="微软雅黑" w:cs="宋体" w:hint="eastAsia"/>
          <w:color w:val="333333"/>
          <w:kern w:val="0"/>
          <w:sz w:val="27"/>
          <w:szCs w:val="27"/>
        </w:rPr>
        <w:lastRenderedPageBreak/>
        <w:t>审核，于每年4月30日前出具审核意见报送财政部，并抄送省级财政部门。</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专员办应对省级财政部门报送的相关材料进行认真审核，根据实际需要开展相应的核查工作。在审核过程中发现严重弄虚作假或重大违规等问题，及时向财政部报告。</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第三十七条财政部结合专员办审核意见，对省级财政部门报送的专项资金申请材料进行审核后，按规定向省级财政部门下达专项资金预算，并抄送当地专员办。</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对上年末专项资金结余的地区，财政部将减少安排该地区下一年度专项资金的数额。</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八条省级财政部门收到中央财政下达的专项资金预算后，应参照中央财政的分配方案，结合本地区实际情况，及时将专项资金予以统筹安排，并编制专项资金的审核、拨付和使用情况报告报送财政部备案，并抄送当地专员办。</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第三十九条专项资金的支付，按照国库集中支付制度有关规定执行。专项资金的预算公开，按照中央对地方专项转移支付信息公开管理制度有关规定执行。</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第七章预算监管和绩效管理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条本办法涉及的银行业金融机构、担保基金运营管理机构、地方融资平台公司、PPP项目实施机构等相关单位应当如实统计和上报专项资金申请涉及的各项基础数据，对各项基础数据的真实性、合规性负责，并对所属分支机构加强监管。</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一条各级财政部门应当加强对专项资金申请、审核、拨付的组织、协调和管理工作，并会同有关部门对专项资金申请的真实性、合规性以及审核拨付、使用情况加强检查，对检查中发现的问题及时处理和反映，保证专项资金政策落到实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第四十二条专员办应当按照有关政策规定，对专项资金的申请、分配、使用情况进行监管，加强实地抽查，出具意见作为中央和省级财政部门拨付专项资金的依据，并作为调整下年度专项资金分配的重要参考。</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三条财政部门及其派出机构应当加强实地抽查力度，对查出以前年度虚报材料、骗取专项资金的，应当及时予以追回。对被骗取的专项资金，由地方政府有关部门自行查出的，由同级政府财政部门收回。由中央有关部门组织查出的，由省级财政部门负责追回并及时上缴中央财政。</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四条地方各级财政部门及其工作人员、申报使用专项资金的部门、单位及个人有下列行为之一的，依照《中华人民共和国预算法》、《财政违法行为处罚处分条例》等有关法律法规予以处理、处罚，并视情况提请同级政府进行行政问责：</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（一）专项资金分配方案制定和复核过程中，有关部门及其工作人员违反规定，擅自改变分配方法、随意调整分配因素以及向不符合条件的单位（或项目）分配资金的；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（二）以虚报冒领、重复申报、多头申报、报大建小等手段骗取专项资金的；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（三）滞留、截留、挤占、挪用专项资金的；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（四）擅自超出规定的范围或者标准分配或使用专项资金的；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（五）未履行管理和监督职责，致使专项资金被骗取、截留、挤占、挪用，或资金闲置沉淀的；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（六）拒绝、干扰或者不予配合有关专项资金的预算监管、绩效评价、监督检查等工作的；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lastRenderedPageBreak/>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（七）对提出意见建议的单位和个人、举报人、控告人打击报复的；</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（八）其他违反专项资金管理的行为。</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涉嫌犯罪的，移送司法机关处理。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第四十五条对未能独立客观地发表意见，在专项资金申请、评审等有关工作中存在虚假、伪造行为的第三方，按照有关法律法规的规定进行处理。</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六条各级财政部门应当按照预算绩效管理的有关规定加强专项资金绩效管理，建立健全全过程预算绩效管理机制。按照《中央对地方专项转移支付绩效目标管理暂行办法》（财预〔2015〕163号）等规定，设定专项资金绩效目标及相应的绩效指标，加强对绩效目标的审核，并将审核确认后的绩效目标予以下达。强化专项资金绩效目标执行监控，确保绩效目标如期实现。按要求开展绩效评价，将绩效评价结果作为完善政策和资金分配的参考依据，不断提高财政资金使用效益，更好地支持普惠金融发展。</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第四十七条地方各级财政部门应当逐步探索建立普惠金融指标体系，对辖区内普惠金融发展状况进行科学评价，为完善专项资金管理制</w:t>
      </w:r>
      <w:r w:rsidRPr="004849B5">
        <w:rPr>
          <w:rFonts w:ascii="微软雅黑" w:eastAsia="微软雅黑" w:hAnsi="微软雅黑" w:cs="宋体" w:hint="eastAsia"/>
          <w:color w:val="333333"/>
          <w:kern w:val="0"/>
          <w:sz w:val="27"/>
          <w:szCs w:val="27"/>
        </w:rPr>
        <w:lastRenderedPageBreak/>
        <w:t>度提供决策参考。</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第八章附则</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第四十八条中央财政对新疆生产建设兵团专项资金的分配、拨付、使用、管理，以及相关申请材料的申报与审核，参照本办法规定执行。</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第四十九条省级财政部门及新疆生产建设兵团财务局要根据本办法，结合实际制定专项资金管理实施细则，并报送财政部备案。</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第五十条本办法自印发之日起施行，有效期3年。《财政县域金融机构涉农贷款增量奖励资金管理办法》（财金〔2010〕116号）、《</w:t>
      </w:r>
      <w:hyperlink r:id="rId19" w:history="1">
        <w:r w:rsidRPr="004849B5">
          <w:rPr>
            <w:rFonts w:ascii="微软雅黑" w:eastAsia="微软雅黑" w:hAnsi="微软雅黑" w:cs="宋体" w:hint="eastAsia"/>
            <w:color w:val="333333"/>
            <w:kern w:val="0"/>
            <w:sz w:val="27"/>
            <w:szCs w:val="27"/>
          </w:rPr>
          <w:t>农村金融机构定向费用补贴资金管理办法</w:t>
        </w:r>
      </w:hyperlink>
      <w:r w:rsidRPr="004849B5">
        <w:rPr>
          <w:rFonts w:ascii="微软雅黑" w:eastAsia="微软雅黑" w:hAnsi="微软雅黑" w:cs="宋体" w:hint="eastAsia"/>
          <w:color w:val="333333"/>
          <w:kern w:val="0"/>
          <w:sz w:val="27"/>
          <w:szCs w:val="27"/>
        </w:rPr>
        <w:t>》（</w:t>
      </w:r>
      <w:hyperlink r:id="rId20" w:history="1">
        <w:r w:rsidRPr="004849B5">
          <w:rPr>
            <w:rFonts w:ascii="微软雅黑" w:eastAsia="微软雅黑" w:hAnsi="微软雅黑" w:cs="宋体" w:hint="eastAsia"/>
            <w:color w:val="333333"/>
            <w:kern w:val="0"/>
            <w:sz w:val="27"/>
            <w:szCs w:val="27"/>
          </w:rPr>
          <w:t>财金〔2014〕12号</w:t>
        </w:r>
      </w:hyperlink>
      <w:r w:rsidRPr="004849B5">
        <w:rPr>
          <w:rFonts w:ascii="微软雅黑" w:eastAsia="微软雅黑" w:hAnsi="微软雅黑" w:cs="宋体" w:hint="eastAsia"/>
          <w:color w:val="333333"/>
          <w:kern w:val="0"/>
          <w:sz w:val="27"/>
          <w:szCs w:val="27"/>
        </w:rPr>
        <w:t>）、《小额担保贷款财政贴息资金管理办法》（财金〔2008〕100号）同时废止。</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附1.普惠金融发展专项资金申报表</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w:t>
      </w:r>
    </w:p>
    <w:p w:rsidR="004849B5" w:rsidRPr="004849B5" w:rsidRDefault="004849B5" w:rsidP="004849B5">
      <w:pPr>
        <w:shd w:val="clear" w:color="auto" w:fill="FFFFFF"/>
        <w:wordWrap w:val="0"/>
        <w:rPr>
          <w:rFonts w:ascii="微软雅黑" w:eastAsia="微软雅黑" w:hAnsi="微软雅黑" w:cs="宋体"/>
          <w:color w:val="333333"/>
          <w:kern w:val="0"/>
          <w:sz w:val="27"/>
          <w:szCs w:val="27"/>
        </w:rPr>
      </w:pPr>
      <w:r w:rsidRPr="004849B5">
        <w:rPr>
          <w:rFonts w:ascii="微软雅黑" w:eastAsia="微软雅黑" w:hAnsi="微软雅黑" w:cs="宋体" w:hint="eastAsia"/>
          <w:color w:val="333333"/>
          <w:kern w:val="0"/>
          <w:sz w:val="27"/>
          <w:szCs w:val="27"/>
        </w:rPr>
        <w:t xml:space="preserve">　　2.普惠金融发展专项资金申报表填表说明</w:t>
      </w:r>
    </w:p>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 w:rsidR="004849B5" w:rsidRDefault="004849B5" w:rsidP="004849B5">
      <w:pPr>
        <w:pStyle w:val="3"/>
        <w:jc w:val="center"/>
        <w:rPr>
          <w:sz w:val="30"/>
          <w:szCs w:val="30"/>
          <w:lang w:val="zh-CN"/>
        </w:rPr>
      </w:pPr>
      <w:bookmarkStart w:id="23" w:name="_Toc12864188"/>
      <w:r w:rsidRPr="004849B5">
        <w:rPr>
          <w:rFonts w:hint="eastAsia"/>
          <w:sz w:val="30"/>
          <w:szCs w:val="30"/>
          <w:lang w:val="zh-CN"/>
        </w:rPr>
        <w:lastRenderedPageBreak/>
        <w:t>关于财政资金注资政府投资基金支持产业发展的指导意见（财建〔</w:t>
      </w:r>
      <w:r w:rsidRPr="004849B5">
        <w:rPr>
          <w:rFonts w:hint="eastAsia"/>
          <w:sz w:val="30"/>
          <w:szCs w:val="30"/>
          <w:lang w:val="zh-CN"/>
        </w:rPr>
        <w:t>2015</w:t>
      </w:r>
      <w:r w:rsidRPr="004849B5">
        <w:rPr>
          <w:rFonts w:hint="eastAsia"/>
          <w:sz w:val="30"/>
          <w:szCs w:val="30"/>
          <w:lang w:val="zh-CN"/>
        </w:rPr>
        <w:t>〕</w:t>
      </w:r>
      <w:r w:rsidRPr="004849B5">
        <w:rPr>
          <w:rFonts w:hint="eastAsia"/>
          <w:sz w:val="30"/>
          <w:szCs w:val="30"/>
          <w:lang w:val="zh-CN"/>
        </w:rPr>
        <w:t>1062</w:t>
      </w:r>
      <w:r w:rsidRPr="004849B5">
        <w:rPr>
          <w:rFonts w:hint="eastAsia"/>
          <w:sz w:val="30"/>
          <w:szCs w:val="30"/>
          <w:lang w:val="zh-CN"/>
        </w:rPr>
        <w:t>号）</w:t>
      </w:r>
      <w:bookmarkEnd w:id="23"/>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各省、自治区、直辖市、计划单列市财政厅(局)：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近年来，各级财政探索政府投资基金等市场化方式支持产业发展，有效引导了社会资本投向，促进了企业和产业发展，但也存在投向分散、运作不规范、指导监督机制不完善等问题。为贯彻落实党的十八届五中全会通过的《国民经济和社会发展第十三个五年规划的建议》关于“发挥财政资金撬动功能，创新融资方式，带动社会资本参与投资”等精神，规范有序推进相关工作，根据《政府投资基金管理办法》(财预〔2015〕210号)，现就财政资金注资设立政府投资基金支持产业发展，提出以下指导意见：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一、指导思想、总体要求及基本原则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(一)指导思想。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规范有序运用政府投资基金方式推动重点产业发展，发挥财政资金带动社会投资、培育市场需求、促进企业创业成长等作用，提高资源配置效率和财政资金使用效益，加快经济结构调整和发展方式转变。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(二)总体要求。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使市场在资源配置中起决定性作用，更好发挥政府引导作用。协调好财政资金杠杆放大作用和多种所有制资本相互促进作用，加强顶层设</w:t>
      </w:r>
      <w:r w:rsidRPr="003C0457">
        <w:rPr>
          <w:rFonts w:ascii="微软雅黑" w:eastAsia="微软雅黑" w:hAnsi="微软雅黑" w:cs="宋体"/>
          <w:color w:val="333333"/>
          <w:kern w:val="0"/>
          <w:sz w:val="27"/>
          <w:szCs w:val="27"/>
        </w:rPr>
        <w:lastRenderedPageBreak/>
        <w:t>计，坚持市场化运作，规范有序推进，推动解决产业重点领域和薄弱环节的资金、市场、技术等瓶颈制约。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(三)基本原则。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——聚焦重点产业。区分产业重点领域和薄弱环节，明确特定政策目标，在准确定位的基础上确定财政资金投入方式和支持产业发展的政府投资基金设立方案，解决产业发展的瓶颈制约。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——坚持市场化运作。按照法律法规和市场通行做法明确工作机制，遵循市场规则，实行专业化管理，同时注重充分发挥社会资本作用。在确保有效监督指导的同时，基金机构设置尽可能精简，提高效率。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切实履行出资人职责。财政部门根据同级政府授权，切实履行对财政资金注资的政府投资基金的出资人职责。通过合理设计基金设立方案及财政出资让利措施、选好基金管理公司或团队等，充分发挥政府投资基金支持产业的作用。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二、合理运用政府投资基金聚焦支持重点产业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财政资金注资政府投资基金支持产业发展，应当针对宏观经济及产业发展的特定问题，加强政策顶层设计、明确基金定位、合理控制规模，规范有序推进。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(一)精准定位、聚焦重点。公共财政运用政府投资基金方式支持的产业，限定于具有一定竞争性、存在市场失灵、外溢性明显的关键领域</w:t>
      </w:r>
      <w:r w:rsidRPr="003C0457">
        <w:rPr>
          <w:rFonts w:ascii="微软雅黑" w:eastAsia="微软雅黑" w:hAnsi="微软雅黑" w:cs="宋体"/>
          <w:color w:val="333333"/>
          <w:kern w:val="0"/>
          <w:sz w:val="27"/>
          <w:szCs w:val="27"/>
        </w:rPr>
        <w:lastRenderedPageBreak/>
        <w:t>和薄弱环节。具体按照《政府投资基金暂行管理办法》有关规定，限定支持领域。推动产业发展方面，主要支持外部性强，基础性、带动性、战略性特征明显的产业领域及中小企业创业成长。各地应当结合上述定位，以及国家、地方产业布局和发展规划聚焦作用的特定领域。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问题导向、分类施策。针对产业重点领域和薄弱环节，相机采取创业投资引导基金、产业投资基金等形式予以支持。其中：对战略性新兴产业及中小企业，可通过创业投资引导基金，加强资金、技术和市场相融合。对集成电路等战略主导产业及行业龙头企业，可通过产业投资基金直接投资，实现产业重点突破和跨越发展。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加强引导、有序推进。通过一般公共预算、政府性基金预算、国有资本经营预算等安排对政府投资基金注资，发挥财政资金引导作用，引导社会资金投资经济社会发展的重点领域和薄弱环节。同时，要合理控制政府投资基金规模，不得在同一行业或领域重复设立基金。结合产业发展阶段性特点和要求，适时调整政府投资基金作用的领域；对市场能够充分发挥作用的领域，要及时退出。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三、规范设立运作支持产业的政府投资基金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财政资金注资设立政府投资基金支持产业，要坚持市场化运作、专业化管理，以实现基金良性运营。基金的设立和运作，应当遵守契约精神，依法依规推进，促进政策目标实现。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一)设立市场化的基金实体。结合政府投资基金定位、社会出资人意愿等，设立公司制、合伙制等市场化基金实体，坚持所有权、管理权、托管权分离。原则上不设立事业单位形式的政府投资基金；已设立事业单位形式政府投资基金的应当积极向企业转制，不能转制的应当选聘专业管理团队，提高市场化管理水平。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建立多元化的出资结构。结合政府投资基金政策目标，广泛吸引社会出资，形成多元化出资结构，优化基金内部治理结构、形成各方出资合理制衡，促进协同发展。结合财力可能、基金定位、募资难度等确定财政资金注资上限，并根据有关章程、协议及基金投资进度等分期到位。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(三)坚持专业化投资运营。财政资金注资设立的政府投资基金，原则上委托市场化基金管理公司管理，并通过委托管理协议等约定主要投资领域和投资阶段。为促进产业链协同发展，可适当布局产业上下游环节。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建立适时退出机制。财政资金注资设立政府投资基金形成的股权，应根据有关法律法规并按照章程约定的条件退出。财政出资原则在基金存续期满后退出，存续期内如达到预期目标，也可考虑通过预设股权回购机制等方式适时退出。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四、切实履行财政资金出资人职责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财政部门作为财政资金管理部门，根据本级人民政府授权，并依照法律法规以及基金章程、合伙人协议等，切实履行对财政资金注资政府投资基金的出资人职责，促进支持产业政策目标实现，保障出资人权益。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深入研究基金设立方案。确需设立支持产业的政府投资基金，财政部门应当主动研究设立方案，结合支持的产业发展所需，明确基金设立形式、运作机制、财政出资比例、让利措施等问题，同时发挥行业主管部门在行业政策及投向等方面的指导作用，明确引导基金投资结构、中长期目标，由财政部门或财政部门会同有关行业主管部门报同级人民政府审批。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选定绩优基金管理公司或团队。选择政府投资基金管理公司或团队要综合考虑团队募资能力、投资业绩、研究能力、出资实力等，预设好前置条件，确保专注管理。同时，设定合理的激励约束机制，主要是确定合理的管理费和绩效奖励、要求基金管理公司或团队对引导基金认缴出资、将对其绩效评价与管理费等挂钩，促使基金管理公司或团队不断提高管理水平。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合理确定财政出资让利措施。财政资金注资设立政府投资基金支持产业发展，着眼政策目标，坚持风险共担、收益共享。财政出资原则上与社会出资同股同权。对于“市场失灵”突出的领域，设立基金可以采取向社会出资人让渡部分分红等让利措施，但必须控制财政风险，并确保市场机制充分发挥作用。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四)依法行使出资人权利。财政部门与其他出资人共同签订政府投资基金章程、合伙人协议等，明晰各方责权利；同时，按照有关协议约定委派董事或理事、监事等，依法依规参与基金内部治理，促进政策目标实现，保障出资人权益。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适时进行考核评价。财政资金控股的政府投资基金应当纳入公共财政考核评价体系，定期对基金支持产业的政策目标、政策效果及其资产情况进行评估；对于财政资金注资但不控股的基金，财政部门或财政部门授权有关部门(机构)按照公共性原则对财政出资进行考核评价。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五、积极营造政府投资基金支持产业发展的良好环境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财政资金新注资设立政府投资基金支持产业发展，要按照本意见要求规范推进。已注资的基金如具备条件，应当在出资人自愿协商一致的前提下，按照本意见调整完善运作机制。财政部门应对所注资基金加强统筹，完善机制，营造良好环境，促使更好发挥支持产业发展的政策效应。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加强统筹合作。中央和地方财政资金注资的投向相近的政府投资基金，应加强合作，通过互相参股、联合投资等方式发挥合力。同时，财政资金也可参股一些产业龙头企业发起设立的基金，扶优扶强，推动产业链协同发展，优化产业布局。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加强组织协调。探索建立财政资金注资政府投资基金的统计分析、考核评价、董事及监事委派、风险控制等体系。同时，加强与有关部门和单位的合作，推动建立政府投资基金支持产业发展的工作协调机制，促进政策作用的有效发挥。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强化政策支撑。对符合国有股转持豁免、税收减免等规定的基金，要用足用好政策。同时，积极研究促进政府投资基金支持产业发展的政策措施，引导金融机构加大对有关基金的融资支持力度，引导产业链相关的国有企业对基金出资。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完善支持方式。按照财税改革和构建现代财政制度的要求，结合经济发展规划、产业基础、资源禀赋及科技优势等实际情况，积极探索完善保险补偿、政府和社会资本合作(PPP)、融资担保等市场化支持方式，形成政策合力共同支持产业发展，推动重点产业发展和产业转型升级。</w:t>
      </w:r>
    </w:p>
    <w:p w:rsidR="004849B5" w:rsidRDefault="004849B5"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4849B5"/>
    <w:p w:rsidR="003C0457" w:rsidRDefault="003C0457" w:rsidP="003C0457">
      <w:pPr>
        <w:pStyle w:val="3"/>
        <w:jc w:val="center"/>
        <w:rPr>
          <w:sz w:val="30"/>
          <w:szCs w:val="30"/>
          <w:lang w:val="zh-CN"/>
        </w:rPr>
      </w:pPr>
      <w:bookmarkStart w:id="24" w:name="_Toc12864189"/>
      <w:r w:rsidRPr="003C0457">
        <w:rPr>
          <w:rFonts w:hint="eastAsia"/>
          <w:sz w:val="30"/>
          <w:szCs w:val="30"/>
          <w:lang w:val="zh-CN"/>
        </w:rPr>
        <w:lastRenderedPageBreak/>
        <w:t>财政部关于对地方政府债务实行限额管理的实施意见（财预〔</w:t>
      </w:r>
      <w:r w:rsidRPr="003C0457">
        <w:rPr>
          <w:rFonts w:hint="eastAsia"/>
          <w:sz w:val="30"/>
          <w:szCs w:val="30"/>
          <w:lang w:val="zh-CN"/>
        </w:rPr>
        <w:t>2015</w:t>
      </w:r>
      <w:r w:rsidRPr="003C0457">
        <w:rPr>
          <w:rFonts w:hint="eastAsia"/>
          <w:sz w:val="30"/>
          <w:szCs w:val="30"/>
          <w:lang w:val="zh-CN"/>
        </w:rPr>
        <w:t>〕</w:t>
      </w:r>
      <w:r w:rsidRPr="003C0457">
        <w:rPr>
          <w:rFonts w:hint="eastAsia"/>
          <w:sz w:val="30"/>
          <w:szCs w:val="30"/>
          <w:lang w:val="zh-CN"/>
        </w:rPr>
        <w:t>225</w:t>
      </w:r>
      <w:r w:rsidRPr="003C0457">
        <w:rPr>
          <w:rFonts w:hint="eastAsia"/>
          <w:sz w:val="30"/>
          <w:szCs w:val="30"/>
          <w:lang w:val="zh-CN"/>
        </w:rPr>
        <w:t>号）</w:t>
      </w:r>
      <w:bookmarkEnd w:id="24"/>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为进一步规范地方政府债务管理，更好发挥政府债务促进经济社会发展的积极作用，防范和化解财政金融风险，根据预算法、《国务院关于加强地方政府性债务管理的意见》（国发〔2014〕43号）和全国人民代表大会常务委员会批准的国务院关于提请审议批准2015年地方政府债务限额的议案有关要求，经国务院同意，现就地方政府债务限额管理提出以下实施意见：</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bookmarkStart w:id="25" w:name="_Toc441655520"/>
      <w:r w:rsidRPr="003C0457">
        <w:rPr>
          <w:rFonts w:ascii="微软雅黑" w:eastAsia="微软雅黑" w:hAnsi="微软雅黑" w:cs="宋体" w:hint="eastAsia"/>
          <w:color w:val="333333"/>
          <w:kern w:val="0"/>
          <w:sz w:val="27"/>
          <w:szCs w:val="27"/>
        </w:rPr>
        <w:t>一、切实加强地方政府债务限额管理</w:t>
      </w:r>
      <w:bookmarkEnd w:id="25"/>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（一）合理确定地方政府债务总限额。</w:t>
      </w:r>
      <w:r w:rsidRPr="003C0457">
        <w:rPr>
          <w:rFonts w:ascii="微软雅黑" w:eastAsia="微软雅黑" w:hAnsi="微软雅黑" w:cs="宋体"/>
          <w:color w:val="333333"/>
          <w:kern w:val="0"/>
          <w:sz w:val="27"/>
          <w:szCs w:val="27"/>
        </w:rPr>
        <w:t>对地方政府债务余额实行限额管理。年度地方政府债务限额等于上年地方政府债务限额加上当年新增债务限额（或减去当年调减债务限额），具体分为一般债务限额和专项债务限额。</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地方政府债务总限额由国务院根据国家宏观经济形势等因素确定，并报全国人民代表大会批准。年度预算执行中，如出现下列特殊情况需要调整地方政府债务新增限额，由国务院提请全国人大常委会审批：当经济下行压力大、需要实施积极财政政策时，适当扩大当年新增债务限额；当经济形势好转、需要实施稳健财政政策或适度从紧财政政策时，适当削减当年新增债务限额或在上年债务限额基础上合理调减限额。</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（二）逐级下达分地区地方政府债务限额。</w:t>
      </w:r>
      <w:r w:rsidRPr="003C0457">
        <w:rPr>
          <w:rFonts w:ascii="微软雅黑" w:eastAsia="微软雅黑" w:hAnsi="微软雅黑" w:cs="宋体"/>
          <w:color w:val="333333"/>
          <w:kern w:val="0"/>
          <w:sz w:val="27"/>
          <w:szCs w:val="27"/>
        </w:rPr>
        <w:t>各省、自治区、直辖市政府债务限额，由财政部在全国人大或其常委会批准的总限额内，根据债务风险、财力状况等因素并统筹考虑国家宏观调控政策、各地区建设投资需求等提出方案，报国务院批准后下达各省级财政部门。</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省级财政部门依照财政部下达的限额，提出本地区政府债务安排建议，编制预算调整方案，经省级政府报本级人大常委会批准；根据债务风险、财力状况等因素并统筹本地区建设投资需求提出省本级及所属各市县当年政府债务限额，报省级政府批准后下达各市县级政府。市县级政府确需举借债务的，依照经批准的限额提出本地区当年政府债务举借和使用计划，列入预算调整方案，报本级人大常委会批准，报省级政府备案并由省级政府代为举借。</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（三）严格按照限额举借地方政府债务。</w:t>
      </w:r>
      <w:r w:rsidRPr="003C0457">
        <w:rPr>
          <w:rFonts w:ascii="微软雅黑" w:eastAsia="微软雅黑" w:hAnsi="微软雅黑" w:cs="宋体"/>
          <w:color w:val="333333"/>
          <w:kern w:val="0"/>
          <w:sz w:val="27"/>
          <w:szCs w:val="27"/>
        </w:rPr>
        <w:t>省级财政部门在批准的地方政府债务限额内，统筹考虑地方政府负有偿还责任的中央转贷外债情况，合理安排地方政府债券的品种、结构、期限和时点，做好政府债券的发行兑付工作。中央和省级财政部门每半年向本级人大有关专门委员会书面报告地方政府债券发行和兑付等情况。对2015年地方政府债务限额下达前举借的在建项目后续贷款中需要纳入政府债务的，由各地在2015年地方政府债务限额内调整结构解决。今后，需要纳入政府债务的在建项目后续融资需求在确定每年新增地方政府债务限额时统筹考虑，依法通过发行地方政府债券举借。地方政府新发生或有债务，要</w:t>
      </w:r>
      <w:r w:rsidRPr="003C0457">
        <w:rPr>
          <w:rFonts w:ascii="微软雅黑" w:eastAsia="微软雅黑" w:hAnsi="微软雅黑" w:cs="宋体"/>
          <w:color w:val="333333"/>
          <w:kern w:val="0"/>
          <w:sz w:val="27"/>
          <w:szCs w:val="27"/>
        </w:rPr>
        <w:lastRenderedPageBreak/>
        <w:t>严格限定在依法担保的外债转贷范围内，并根据担保合同依法承担相关责任。</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（四）将地方政府债务分类纳入预算管理。</w:t>
      </w:r>
      <w:r w:rsidRPr="003C0457">
        <w:rPr>
          <w:rFonts w:ascii="微软雅黑" w:eastAsia="微软雅黑" w:hAnsi="微软雅黑" w:cs="宋体"/>
          <w:color w:val="333333"/>
          <w:kern w:val="0"/>
          <w:sz w:val="27"/>
          <w:szCs w:val="27"/>
        </w:rPr>
        <w:t>地方政府要将其所有政府债务纳入限额，并分类纳入预算管理。其中，一般债务纳入一般公共预算管理，主要以一般公共预算收入偿还，当赤字不能减少时可采取借新还旧的办法。专项债务纳入政府性基金预算管理，通过对应的政府性基金或专项收入偿还；政府性基金或专项收入暂时难以实现，如收储土地未能按计划出让的，可先通过借新还旧周转，收入实现后即予归还。</w:t>
      </w:r>
      <w:bookmarkStart w:id="26" w:name="_Toc441655521"/>
      <w:bookmarkEnd w:id="26"/>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二、建立健全地方政府债务风险防控机制</w:t>
      </w:r>
      <w:bookmarkStart w:id="27" w:name="_Toc441655522"/>
      <w:bookmarkStart w:id="28" w:name="_Toc441656071"/>
      <w:bookmarkEnd w:id="27"/>
      <w:bookmarkEnd w:id="28"/>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（一）全面评估和预警地方政府债务风险。</w:t>
      </w:r>
      <w:r w:rsidRPr="003C0457">
        <w:rPr>
          <w:rFonts w:ascii="微软雅黑" w:eastAsia="微软雅黑" w:hAnsi="微软雅黑" w:cs="宋体"/>
          <w:color w:val="333333"/>
          <w:kern w:val="0"/>
          <w:sz w:val="27"/>
          <w:szCs w:val="27"/>
        </w:rPr>
        <w:t>地方各级政府要全面掌握资产负债、还本付息、财政运行等情况，加快建立政府综合财务报告制度，全面评估风险状况，跟踪风险变化，切实防范风险。中央和省级财政部门要加强对地方政府债务的监督，根据债务率、新增债务率、偿债率、逾期债务率、或有债务代偿率等指标，及时分析和评估地方政府债务风险状况，对债务高风险地区进行风险预警。</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（二）抓紧建立债务风险化解和应急处置机制。</w:t>
      </w:r>
      <w:r w:rsidRPr="003C0457">
        <w:rPr>
          <w:rFonts w:ascii="微软雅黑" w:eastAsia="微软雅黑" w:hAnsi="微软雅黑" w:cs="宋体"/>
          <w:color w:val="333333"/>
          <w:kern w:val="0"/>
          <w:sz w:val="27"/>
          <w:szCs w:val="27"/>
        </w:rPr>
        <w:t>各省、自治区、直辖市政府要对本地区地方政府债务风险防控负总责，建立债务风险化解激励约束机制，全面组织做好债务风险化解和应急处置工作。列入风险预警范围的地方各级政府要制订中长期债务风险化解规划和应急处置预案，在严格控制债务增量的同时，通过控制项目规模、减少支出、</w:t>
      </w:r>
      <w:r w:rsidRPr="003C0457">
        <w:rPr>
          <w:rFonts w:ascii="微软雅黑" w:eastAsia="微软雅黑" w:hAnsi="微软雅黑" w:cs="宋体"/>
          <w:color w:val="333333"/>
          <w:kern w:val="0"/>
          <w:sz w:val="27"/>
          <w:szCs w:val="27"/>
        </w:rPr>
        <w:lastRenderedPageBreak/>
        <w:t>处置资产、引入社会资本等方式，多渠道筹集资金消化存量债务，逐步降低债务风险。市县级政府难以自行偿还债务时，要启动债务风险应急处置预案并及时上报；省级政府要加大对市县级政府债务风险应急处置的指导力度，并督促其切实化解债务风险，确保不发生区域性和系统性风险。</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（三）健全地方政府债务监督和考核问责机制。</w:t>
      </w:r>
      <w:r w:rsidRPr="003C0457">
        <w:rPr>
          <w:rFonts w:ascii="微软雅黑" w:eastAsia="微软雅黑" w:hAnsi="微软雅黑" w:cs="宋体"/>
          <w:color w:val="333333"/>
          <w:kern w:val="0"/>
          <w:sz w:val="27"/>
          <w:szCs w:val="27"/>
        </w:rPr>
        <w:t>地方各级政府要主动接受本级人大和社会监督，定期向社会公开政府债务限额、举借、使用、偿还等情况。地方政府举债要遵循市场化原则，强化市场约束。审计部门要依法加强债务审计监督，财政部门要加大对地方政府违规举债及债务风险的监控力度。要将政府债务管理作为硬指标纳入政绩考核，强化对地方政府领导干部的考核。地方政府主要负责人要作为第一责任人，切实抓好本级政府债务风险防控等各项工作。对地方政府防范化解政府债务风险不力的，要进行约谈、通报，必要时可以责令其减少或暂停举借新债。对地方政府违法举债或担保的，责令改正，并按照预算法规定追究相关人员责任。</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bookmarkStart w:id="29" w:name="_Toc441655523"/>
      <w:r w:rsidRPr="003C0457">
        <w:rPr>
          <w:rFonts w:ascii="微软雅黑" w:eastAsia="微软雅黑" w:hAnsi="微软雅黑" w:cs="宋体" w:hint="eastAsia"/>
          <w:color w:val="333333"/>
          <w:kern w:val="0"/>
          <w:sz w:val="27"/>
          <w:szCs w:val="27"/>
        </w:rPr>
        <w:t>三、妥善处理存量债务</w:t>
      </w:r>
      <w:bookmarkEnd w:id="29"/>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（一）切实履行政府债务偿还责任。</w:t>
      </w:r>
      <w:r w:rsidRPr="003C0457">
        <w:rPr>
          <w:rFonts w:ascii="微软雅黑" w:eastAsia="微软雅黑" w:hAnsi="微软雅黑" w:cs="宋体"/>
          <w:color w:val="333333"/>
          <w:kern w:val="0"/>
          <w:sz w:val="27"/>
          <w:szCs w:val="27"/>
        </w:rPr>
        <w:t>对甄别后纳入预算管理的地方政府存量债务，属于公益性项目债务的，由地方政府统筹安排包括债券资金在内的预算资金偿还，必要时可以处置政府资产；属于非公益性项目债务的，由举借债务的部门和单位通过压减预算支出等措施偿还，暂时难以压减的可用财政资金先行垫付，并在以后年度部门和单位预算</w:t>
      </w:r>
      <w:r w:rsidRPr="003C0457">
        <w:rPr>
          <w:rFonts w:ascii="微软雅黑" w:eastAsia="微软雅黑" w:hAnsi="微软雅黑" w:cs="宋体"/>
          <w:color w:val="333333"/>
          <w:kern w:val="0"/>
          <w:sz w:val="27"/>
          <w:szCs w:val="27"/>
        </w:rPr>
        <w:lastRenderedPageBreak/>
        <w:t>中扣回。取消融资平台公司的政府融资职能，推动有经营收益和现金流的融资平台公司市场化转型改制，通过政府和社会资本合作（PPP）、政府购买服务等措施予以支持。</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地方政府存量债务中通过银行贷款等非政府债券方式举借部分，通过三年左右的过渡期，由省级财政部门在限额内安排发行地方政府债券置换。为避免地方竞相发债对市场产生冲击，财政部根据债务到期、债务风险等情况予以组织协调，并继续会同人民银行、银监会等有关部门做好定向承销发行置换债券等工作。</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（二）依法妥善处置或有债务。</w:t>
      </w:r>
      <w:r w:rsidRPr="003C0457">
        <w:rPr>
          <w:rFonts w:ascii="微软雅黑" w:eastAsia="微软雅黑" w:hAnsi="微软雅黑" w:cs="宋体"/>
          <w:color w:val="333333"/>
          <w:kern w:val="0"/>
          <w:sz w:val="27"/>
          <w:szCs w:val="27"/>
        </w:rPr>
        <w:t>对政府负有担保责任或可能承担一定救助责任的或有债务，地方政府要依法妥善处置。对确需依法代偿的或有债务，地方政府要将代偿部分的资金纳入预算管理，并依法对原债务单位及有关责任方保留追索权；对因预算管理方式变化导致原偿债资金性质变化为财政资金、相应确需转化为政府债务的或有债务，在不突破限额的前提下，报经省级政府批准后转化为政府债务；对违法违规担保的或有债务，由政府、债务人与债权人共同协商，重新修订合同，明确责任，依法解除担保关系。地方政府通过政府和社会资本合作等方式减少政府债务余额腾出的限额空间，要优先用于解决上述或有债务代偿或转化问题。</w:t>
      </w:r>
    </w:p>
    <w:p w:rsidR="003C0457" w:rsidRPr="003C0457" w:rsidRDefault="003C0457" w:rsidP="003C0457">
      <w:pPr>
        <w:widowControl/>
        <w:shd w:val="clear" w:color="auto" w:fill="FFFFFF"/>
        <w:spacing w:before="100" w:beforeAutospacing="1" w:after="100" w:afterAutospacing="1" w:line="480" w:lineRule="atLeast"/>
        <w:ind w:firstLine="640"/>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各地区、各部门要进一步统一思想认识，高度重视，严格执行地方政府债务管理的各项规定，结合本地区、本部门实际，明确任务分工、落实工作职责，积极研究解决新问题，及时总结经验做法，加强舆论引</w:t>
      </w:r>
      <w:r w:rsidRPr="003C0457">
        <w:rPr>
          <w:rFonts w:ascii="微软雅黑" w:eastAsia="微软雅黑" w:hAnsi="微软雅黑" w:cs="宋体"/>
          <w:color w:val="333333"/>
          <w:kern w:val="0"/>
          <w:sz w:val="27"/>
          <w:szCs w:val="27"/>
        </w:rPr>
        <w:lastRenderedPageBreak/>
        <w:t>导，切实发挥规范地方政府债务管理对“稳增长”和“防风险”的积极作用，推动各项政策措施落实到位。</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30" w:name="_Toc12864190"/>
      <w:r w:rsidRPr="003C0457">
        <w:rPr>
          <w:rFonts w:hint="eastAsia"/>
          <w:sz w:val="30"/>
          <w:szCs w:val="30"/>
          <w:lang w:val="zh-CN"/>
        </w:rPr>
        <w:lastRenderedPageBreak/>
        <w:t>财政部关于印发《政府投资基金暂行管理办法》的通知（财预〔</w:t>
      </w:r>
      <w:r w:rsidRPr="003C0457">
        <w:rPr>
          <w:rFonts w:hint="eastAsia"/>
          <w:sz w:val="30"/>
          <w:szCs w:val="30"/>
          <w:lang w:val="zh-CN"/>
        </w:rPr>
        <w:t>2015</w:t>
      </w:r>
      <w:r w:rsidRPr="003C0457">
        <w:rPr>
          <w:rFonts w:hint="eastAsia"/>
          <w:sz w:val="30"/>
          <w:szCs w:val="30"/>
          <w:lang w:val="zh-CN"/>
        </w:rPr>
        <w:t>〕</w:t>
      </w:r>
      <w:r w:rsidRPr="003C0457">
        <w:rPr>
          <w:rFonts w:hint="eastAsia"/>
          <w:sz w:val="30"/>
          <w:szCs w:val="30"/>
          <w:lang w:val="zh-CN"/>
        </w:rPr>
        <w:t>210</w:t>
      </w:r>
      <w:r w:rsidRPr="003C0457">
        <w:rPr>
          <w:rFonts w:hint="eastAsia"/>
          <w:sz w:val="30"/>
          <w:szCs w:val="30"/>
          <w:lang w:val="zh-CN"/>
        </w:rPr>
        <w:t>号）</w:t>
      </w:r>
      <w:bookmarkEnd w:id="30"/>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党中央有关部门，国务院各部委、各直属机构，各省（自治区、直辖市、计划单列市）财政厅（局、委）：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为了进一步提高财政资金使用效益，发挥好财政资金的杠杆作用，规范政府投资基金的设立、运作和风险控制、预算管理等工作，促进政府投资基金持续健康运行，根据预算法、合同法、公司法、合伙企业法等相关法律法规，我们制定了《政府投资基金暂行管理办法》，现印发给你们，请遵照执行。　　</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附件：政府投资基金暂行管理办法　　</w:t>
      </w:r>
    </w:p>
    <w:p w:rsidR="003C0457" w:rsidRPr="003C0457" w:rsidRDefault="003C0457" w:rsidP="003C0457">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财政部　　</w:t>
      </w:r>
    </w:p>
    <w:p w:rsidR="003C0457" w:rsidRPr="003C0457" w:rsidRDefault="003C0457" w:rsidP="003C0457">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2015年11月12日</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附件：</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政府投资基金暂行管理办法</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第一章 总 则</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第一条 为了进一步提高财政资金使用效益，发挥好财政资金的杠杆作用，规范政府投资基金管理，促进政府投资基金持续健康运行，根据预算法、合同法、公司法、合伙企业法等相关法律法规，制定本办法。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第二条 本办法所称政府投资基金，是指由各级政府通过预算安排，以单独出资或与社会资本共同出资设立，采用股权投资等市场化方式，引导社会各类资本投资经济社会发展的重点领域和薄弱环节,支持相关产业和领域发展的资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第三条 本办法所称政府出资，是指财政部门通过一般公共预算、政府性基金预算、国有资本经营预算等安排的资金。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第四条 财政部门根据本级政府授权或合同章程规定代行政府出资人职责。</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第二章 政府投资基金的设立</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第五条 政府出资设立投资基金，应当由财政部门或财政部门会同有关行业主管部门报本级政府批准。</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第六条 各级财政部门应当控制政府投资基金的设立数量，不得在同一行业或领域重复设立基金。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第七条 各级财政部门一般应在以下领域设立投资基金：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（一）支持创新创业。为了加快有利于创新发展的市场环境，增加创业投资资本的供给，鼓励创业投资企业投资处于种子期、起步期等创业早期的企业。</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（二）支持中小企业发展。为了体现国家宏观政策、产业政策和区域发展规划意图，扶持中型、小型、微型企业发展，改善企业服务环境和融资环境，激发企业创业创新活力，增强经济持续发展内生动力。</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支持产业转型升级和发展。为了落实国家产业政策，扶持重大关键技术产业化，引导社会资本增加投入，有效解决产业发展投入大、风险大的问题，有效实现产业转型升级和重大发展，推动经济结构调整和资源优化配置。</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（四）支持基础设施和公共服务领域。为改革公共服务供给机制，创新公共设施投融资模式，鼓励和引导社会资本进入基础设施和公共服务领域，加快推进重大基础设施建设，提高公共服务质量和水平。</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第八条 设立政府投资基金，可采用公司制、有限合伙制和契约制等不同组织形式。</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第九条 政府投资基金出资方应当按照现行法律法规，根据不同的组织形式，制定投资基金公司章程、有限合伙协议、合同等（以下简称章程），明确投资基金设立的政策目标、基金规模、存续期限、出资方案、投资领域、决策机制、基金管理机构、风险防范、投资退出、管理费用和收益分配等。</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第三章 政府投资基金的运作和风险控制</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第十条 政府投资基金应按照“政府引导、市场运作，科学决策、防范风险”的原则进行运作。</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第十一条 政府投资基金募资、投资、投后管理、清算、退出等通过市场化运作。财政部门应指导投资基金建立科学的决策机制，确保投资基金政策性目标实现，一般不参与基金日常管理事务。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第十二条 政府投资基金在运作过程中不得从事以下业务：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1.从事融资担保以外的担保、抵押、委托贷款等业务；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2.投资二级市场股票、期货、房地产、证券投资基金、评级AAA以下的企业债、信托产品、非保本型理财产品、保险计划及其他金融衍生品；</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3.向任何第三方提供赞助、捐赠（经批准的公益性捐赠除外）；</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4.吸收或变相吸收存款，或向第三方提供贷款和资金拆借；</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5.进行承担无限连带责任的对外投资；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6.发行信托或集合理财产品募集资金；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7.其他国家法律法规禁止从事的业务。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第十三条 投资基金各出资方应当按照“利益共享、风险共担”的原则，明确约定收益处理和亏损负担方式。对于归属政府的投资收益和利息等，除明确约定继续用于投资基金滚动使用外，应按照财政国库管</w:t>
      </w:r>
      <w:r w:rsidRPr="003C0457">
        <w:rPr>
          <w:rFonts w:ascii="微软雅黑" w:eastAsia="微软雅黑" w:hAnsi="微软雅黑" w:cs="宋体"/>
          <w:color w:val="333333"/>
          <w:kern w:val="0"/>
          <w:sz w:val="27"/>
          <w:szCs w:val="27"/>
        </w:rPr>
        <w:lastRenderedPageBreak/>
        <w:t>理制度有关规定及时足额上缴国库。投资基金的亏损应由出资方共同承担，政府应以出资额为限承担有限责任。</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为更好地发挥政府出资的引导作用，政府可适当让利，但不得向其他出资人承诺投资本金不受损失，不得承诺最低收益。国务院另有规定的除外。</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第十四条 政府投资基金应当遵照国家有关财政预算和财务管理制度等规定，建立健全内部控制和外部监管制度，建立投资决策和风险约束机制，切实防范基金运作过程中可能出现的风险。</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第十五条 政府投资基金应选择在中国境内设立的商业银行进行托管。托管银行依据托管协议负责账户管理、资金清算、资产保管等事务，对投资活动实施动态监管。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第十六条 加强政府投资基金信用体系建设，建立政府投资基金及其高级管理人员信用记录，并将其纳入全国统一的社会信用信息共享交换平台。</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第四章 政府投资基金的终止和退出</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第十七条 政府投资基金一般应当在存续期满后终止。确需延长存续期限的，应当报经同级政府批准后，与其他出资方按章程约定的程序办理。</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第十八条 政府投资基金终止后，应当在出资人监督下组织清算，将政府出资额和归属政府的收益，按照财政国库管理制度有关规定及时足额上缴国库。</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第十九条 政府投资基金中的政府出资部分一般应在投资基金存续期满后退出，存续期未满如达到预期目标，可通过股权回购机制等方式适时退出。</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第二十条 财政部门应与其他出资人在投资基金章程中约定，有下述情况之一的，政府出资可无需其他出资人同意，选择提前退出：</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（一）投资基金方案确认后超过一年，未按规定程序和时间要求完成设立手续的；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（二）政府出资拨付投资基金账户一年以上，基金未开展投资业务的；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（三）基金投资领域和方向不符合政策目标的；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（四）基金未按章程约定投资的；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（五）其他不符合章程约定情形的。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第二十一条 政府出资从投资基金退出时，应当按照章程约定的条件退出；章程中没有约定的，应聘请具备资质的资产评估机构对出资权益进行评估，作为确定投资基金退出价格的依据。</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第五章 政府投资基金的预算管理</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第二十二条 各级政府出资设立投资基金，应由同级财政部门根据章程约定的出资方案将当年政府出资额纳入年度政府预算。</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第二十三条 上级政府可通过转移支付支持下级政府设立投资基金，也可与下级政府共同出资设立投资基金。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第二十四条 各级政府单独出资设立的投资基金，由财政部门根据年度预算、项目投资进度或实际用款需要将资金拨付到投资基金。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政府部门与社会资本共同出资设立的投资基金，由财政部门根据投资基金章程中约定的出资方案、项目投资进度或实际用款需求以及年度预算安排情况，将资金拨付到投资基金。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第二十五条 各级财政部门向政府投资基金拨付资金时，增列当期预算支出，按支出方向通过相应的支出分类科目反映；</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收到投资收益时，作增加当期预算收入处理，通过相关预算收入科目反映；</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基金清算或退出收回投资时，作冲减当期财政支出处理。</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第六章 政府投资基金的资产管理</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第二十六条 各级财政部门应按照《财政总预算会计制度》规定，完整准确反映政府投资基金中政府出资部分形成的资产和权益，在保证政府投资安全的前提下实现保值增值。</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各级财政部门向投资基金拨付资金，在增列财政支出的同时，要相应增加政府资产——“股权投资”和净资产——“资产基金”，并要根据本级政府投资基金的种类进行明细核算。基金清算或退出收回投资本金时，应按照政府累计出资额相应冲减政府资产——“股权投资”和净资产——“资产基金”。</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第二十七条 政府应分享的投资损益按权益法进行核算。政府投资基金应当在年度终了后及时将全年投资收益或亏损情况向本级财政部门报告。财政部门按当期损益情况作增加或减少政府资产——“股权投资”和净资产——“资产基金”处理；财政部门收取政府投资基金上缴投资收益时，相应增加财政收入。</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第二十八条 政府投资基金应当定期向财政部门报告基金运行情况、资产负债情况、投资损益情况及其他可能影响投资者权益的其他重大情况。按季编制并向财政部门报送资产负债表、损益表及现金流量表等报表。</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第二十九条 本办法实施前已经设立的政府投资基金，要按本办法规定将政府累计投资形成的资产、权益和应分享的投资收益及时向财政</w:t>
      </w:r>
      <w:r w:rsidRPr="003C0457">
        <w:rPr>
          <w:rFonts w:ascii="微软雅黑" w:eastAsia="微软雅黑" w:hAnsi="微软雅黑" w:cs="宋体"/>
          <w:color w:val="333333"/>
          <w:kern w:val="0"/>
          <w:sz w:val="27"/>
          <w:szCs w:val="27"/>
        </w:rPr>
        <w:lastRenderedPageBreak/>
        <w:t>部门报告。财政部门要按照本办法和《财政总预算会计制度》要求，相应增加政府资产和权益。</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第七章 监督管理</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第三十条 各级财政部门应建立政府投资基金绩效评价制度，按年度对基金政策目标实现程度、投资运营情况等开展评价，有效应用绩效评价结果。</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第三十一条 政府投资基金应当接受财政、审计部门对基金运行情况的审计、监督。</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第三十二条 各级财政部门应会同有关部门对政府投资基金运作情况进行年度检查。对于检查中发现的问题按照预算法和《财政违法行为处罚处分条例》等有关规定予以处理。涉嫌犯罪的，移送司法机关追究刑事责任。</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第八章 附 则</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第三十三条 本办法由国务院财政部门负责解释。</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第三十四条 省级财政部门可结合本办法及实际情况，制定本地区实施细则。</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第三十五条 本办法自印发之日起实施。</w:t>
      </w:r>
    </w:p>
    <w:p w:rsidR="003C0457" w:rsidRDefault="003C0457" w:rsidP="003C0457"/>
    <w:p w:rsidR="003C0457" w:rsidRDefault="003C0457" w:rsidP="003C0457"/>
    <w:p w:rsidR="003C0457" w:rsidRDefault="003C0457" w:rsidP="003C0457">
      <w:pPr>
        <w:pStyle w:val="3"/>
        <w:jc w:val="center"/>
        <w:rPr>
          <w:sz w:val="30"/>
          <w:szCs w:val="30"/>
          <w:lang w:val="zh-CN"/>
        </w:rPr>
      </w:pPr>
      <w:bookmarkStart w:id="31" w:name="_Toc12864191"/>
      <w:r w:rsidRPr="003C0457">
        <w:rPr>
          <w:rFonts w:hint="eastAsia"/>
          <w:sz w:val="30"/>
          <w:szCs w:val="30"/>
          <w:lang w:val="zh-CN"/>
        </w:rPr>
        <w:lastRenderedPageBreak/>
        <w:t>财政部关于印发《中央财政服务业发展专项资金管理办法》的通知（财建〔</w:t>
      </w:r>
      <w:r w:rsidRPr="003C0457">
        <w:rPr>
          <w:rFonts w:hint="eastAsia"/>
          <w:sz w:val="30"/>
          <w:szCs w:val="30"/>
          <w:lang w:val="zh-CN"/>
        </w:rPr>
        <w:t>2015</w:t>
      </w:r>
      <w:r w:rsidRPr="003C0457">
        <w:rPr>
          <w:rFonts w:hint="eastAsia"/>
          <w:sz w:val="30"/>
          <w:szCs w:val="30"/>
          <w:lang w:val="zh-CN"/>
        </w:rPr>
        <w:t>〕</w:t>
      </w:r>
      <w:r w:rsidRPr="003C0457">
        <w:rPr>
          <w:rFonts w:hint="eastAsia"/>
          <w:sz w:val="30"/>
          <w:szCs w:val="30"/>
          <w:lang w:val="zh-CN"/>
        </w:rPr>
        <w:t>256</w:t>
      </w:r>
      <w:r w:rsidRPr="003C0457">
        <w:rPr>
          <w:rFonts w:hint="eastAsia"/>
          <w:sz w:val="30"/>
          <w:szCs w:val="30"/>
          <w:lang w:val="zh-CN"/>
        </w:rPr>
        <w:t>号）</w:t>
      </w:r>
      <w:bookmarkEnd w:id="31"/>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各省、自治区、直辖市、计划单列市财政厅（局）：</w:t>
      </w:r>
      <w:r w:rsidRPr="003C0457">
        <w:rPr>
          <w:rFonts w:ascii="微软雅黑" w:eastAsia="微软雅黑" w:hAnsi="微软雅黑" w:cs="宋体" w:hint="eastAsia"/>
          <w:color w:val="333333"/>
          <w:kern w:val="0"/>
          <w:sz w:val="27"/>
          <w:szCs w:val="27"/>
        </w:rPr>
        <w:br/>
        <w:t xml:space="preserve">　　为支持服务业加快发展，中央财政设立服务业发展专项资金。为加强资金管理，提高资金使用效益，根据国家有关法律法规及预算管理要求，我们制定了《中央财政服务业发展专项资金管理办法》。现印发给你们，请遵照执行。</w:t>
      </w:r>
    </w:p>
    <w:p w:rsidR="003C0457" w:rsidRPr="003C0457" w:rsidRDefault="003C0457" w:rsidP="003C0457">
      <w:pPr>
        <w:widowControl/>
        <w:shd w:val="clear" w:color="auto" w:fill="FFFFFF"/>
        <w:spacing w:before="225"/>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财　政　部</w:t>
      </w:r>
      <w:r w:rsidRPr="003C0457">
        <w:rPr>
          <w:rFonts w:ascii="微软雅黑" w:eastAsia="微软雅黑" w:hAnsi="微软雅黑" w:cs="宋体" w:hint="eastAsia"/>
          <w:color w:val="333333"/>
          <w:kern w:val="0"/>
          <w:sz w:val="27"/>
          <w:szCs w:val="27"/>
        </w:rPr>
        <w:br/>
        <w:t xml:space="preserve">2015年5月31日　　　</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中央财政服务业发展专项资金管理办法</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第一章　总　　则</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　　第一条　为提高中央财政资金使用绩效，促进服务业加快发展，根据《中华人民共和国预算法》和国务院有关加快发展服务业的要求及产业发展指导意见，制定本办法。</w:t>
      </w:r>
      <w:r w:rsidRPr="003C0457">
        <w:rPr>
          <w:rFonts w:ascii="微软雅黑" w:eastAsia="微软雅黑" w:hAnsi="微软雅黑" w:cs="宋体" w:hint="eastAsia"/>
          <w:color w:val="333333"/>
          <w:kern w:val="0"/>
          <w:sz w:val="27"/>
          <w:szCs w:val="27"/>
        </w:rPr>
        <w:br/>
        <w:t xml:space="preserve">　　第二条　本办法所称中央财政服务业发展专项资金（以下简称专项资金）是指中央财政从公共财政预算资金中安排的专项用于支持现代商品流通发展、促进现代服务业公共服务体系建设的资金。</w:t>
      </w:r>
      <w:r w:rsidRPr="003C0457">
        <w:rPr>
          <w:rFonts w:ascii="微软雅黑" w:eastAsia="微软雅黑" w:hAnsi="微软雅黑" w:cs="宋体" w:hint="eastAsia"/>
          <w:color w:val="333333"/>
          <w:kern w:val="0"/>
          <w:sz w:val="27"/>
          <w:szCs w:val="27"/>
        </w:rPr>
        <w:br/>
        <w:t xml:space="preserve">　　第三条　专项资金由财政部会同商务、工商、科技、供销合作、知识产权等有关行业、产业的业务主管部门（以下简称业务主管部门）管</w:t>
      </w:r>
      <w:r w:rsidRPr="003C0457">
        <w:rPr>
          <w:rFonts w:ascii="微软雅黑" w:eastAsia="微软雅黑" w:hAnsi="微软雅黑" w:cs="宋体" w:hint="eastAsia"/>
          <w:color w:val="333333"/>
          <w:kern w:val="0"/>
          <w:sz w:val="27"/>
          <w:szCs w:val="27"/>
        </w:rPr>
        <w:lastRenderedPageBreak/>
        <w:t>理。财政部和业务主管部门分别履行以下管理职责：</w:t>
      </w:r>
      <w:r w:rsidRPr="003C0457">
        <w:rPr>
          <w:rFonts w:ascii="微软雅黑" w:eastAsia="微软雅黑" w:hAnsi="微软雅黑" w:cs="宋体" w:hint="eastAsia"/>
          <w:color w:val="333333"/>
          <w:kern w:val="0"/>
          <w:sz w:val="27"/>
          <w:szCs w:val="27"/>
        </w:rPr>
        <w:br/>
        <w:t xml:space="preserve">　　（一）财政部负责提出年度专项资金支持重点和范围、资金额度；审核业务主管部门提出的工作方案及预算初步建议；下达预算及拨付资金；对资金的使用及绩效情况进行监督检查。</w:t>
      </w:r>
      <w:r w:rsidRPr="003C0457">
        <w:rPr>
          <w:rFonts w:ascii="微软雅黑" w:eastAsia="微软雅黑" w:hAnsi="微软雅黑" w:cs="宋体" w:hint="eastAsia"/>
          <w:color w:val="333333"/>
          <w:kern w:val="0"/>
          <w:sz w:val="27"/>
          <w:szCs w:val="27"/>
        </w:rPr>
        <w:br/>
        <w:t xml:space="preserve">　　（二）业务主管部门负责提出具体工作方案及预算初步建议；会同财政部对资金的使用及绩效情况进行监督检查。</w:t>
      </w:r>
      <w:r w:rsidRPr="003C0457">
        <w:rPr>
          <w:rFonts w:ascii="微软雅黑" w:eastAsia="微软雅黑" w:hAnsi="微软雅黑" w:cs="宋体" w:hint="eastAsia"/>
          <w:color w:val="333333"/>
          <w:kern w:val="0"/>
          <w:sz w:val="27"/>
          <w:szCs w:val="27"/>
        </w:rPr>
        <w:br/>
        <w:t xml:space="preserve">　　第四条　专项资金管理遵循公开、择优、规范、实效原则，资金分配和使用情况向社会公开，接受有关部门和社会监督。</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第二章　资金支持范围和支持方式</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　　第五条　专项资金主要用于支持创新现代商品流通方式，改善现代服务业公共服务体系，推动流通产业结构调整，促进城乡市场发展，扩大国内消费。具体包括：</w:t>
      </w:r>
      <w:r w:rsidRPr="003C0457">
        <w:rPr>
          <w:rFonts w:ascii="微软雅黑" w:eastAsia="微软雅黑" w:hAnsi="微软雅黑" w:cs="宋体" w:hint="eastAsia"/>
          <w:color w:val="333333"/>
          <w:kern w:val="0"/>
          <w:sz w:val="27"/>
          <w:szCs w:val="27"/>
        </w:rPr>
        <w:br/>
        <w:t xml:space="preserve">　　（一）电子商务、现代物流、科技服务、环保服务、信息服务、广告服务、知识产权服务等现代服务业。</w:t>
      </w:r>
      <w:r w:rsidRPr="003C0457">
        <w:rPr>
          <w:rFonts w:ascii="微软雅黑" w:eastAsia="微软雅黑" w:hAnsi="微软雅黑" w:cs="宋体" w:hint="eastAsia"/>
          <w:color w:val="333333"/>
          <w:kern w:val="0"/>
          <w:sz w:val="27"/>
          <w:szCs w:val="27"/>
        </w:rPr>
        <w:br/>
        <w:t xml:space="preserve">　　（二）养老服务、健康服务、家政服务等民生服务业。</w:t>
      </w:r>
      <w:r w:rsidRPr="003C0457">
        <w:rPr>
          <w:rFonts w:ascii="微软雅黑" w:eastAsia="微软雅黑" w:hAnsi="微软雅黑" w:cs="宋体" w:hint="eastAsia"/>
          <w:color w:val="333333"/>
          <w:kern w:val="0"/>
          <w:sz w:val="27"/>
          <w:szCs w:val="27"/>
        </w:rPr>
        <w:br/>
        <w:t xml:space="preserve">　　（三）农村生产、生活用品流通及服务体系建设。</w:t>
      </w:r>
      <w:r w:rsidRPr="003C0457">
        <w:rPr>
          <w:rFonts w:ascii="微软雅黑" w:eastAsia="微软雅黑" w:hAnsi="微软雅黑" w:cs="宋体" w:hint="eastAsia"/>
          <w:color w:val="333333"/>
          <w:kern w:val="0"/>
          <w:sz w:val="27"/>
          <w:szCs w:val="27"/>
        </w:rPr>
        <w:br/>
        <w:t xml:space="preserve">　　（四）全国跨区域农产品流通网络建设。</w:t>
      </w:r>
      <w:r w:rsidRPr="003C0457">
        <w:rPr>
          <w:rFonts w:ascii="微软雅黑" w:eastAsia="微软雅黑" w:hAnsi="微软雅黑" w:cs="宋体" w:hint="eastAsia"/>
          <w:color w:val="333333"/>
          <w:kern w:val="0"/>
          <w:sz w:val="27"/>
          <w:szCs w:val="27"/>
        </w:rPr>
        <w:br/>
        <w:t xml:space="preserve">　　（五）现代服务业的区域性综合试点。</w:t>
      </w:r>
      <w:r w:rsidRPr="003C0457">
        <w:rPr>
          <w:rFonts w:ascii="微软雅黑" w:eastAsia="微软雅黑" w:hAnsi="微软雅黑" w:cs="宋体" w:hint="eastAsia"/>
          <w:color w:val="333333"/>
          <w:kern w:val="0"/>
          <w:sz w:val="27"/>
          <w:szCs w:val="27"/>
        </w:rPr>
        <w:br/>
        <w:t xml:space="preserve">　　（六）规范商贸流通业的市场环境，建设维护诚信等制度体系。</w:t>
      </w:r>
      <w:r w:rsidRPr="003C0457">
        <w:rPr>
          <w:rFonts w:ascii="微软雅黑" w:eastAsia="微软雅黑" w:hAnsi="微软雅黑" w:cs="宋体" w:hint="eastAsia"/>
          <w:color w:val="333333"/>
          <w:kern w:val="0"/>
          <w:sz w:val="27"/>
          <w:szCs w:val="27"/>
        </w:rPr>
        <w:br/>
        <w:t xml:space="preserve">　　（七）财政部会同相关业务主管部门确定的其他相关领域。</w:t>
      </w:r>
      <w:r w:rsidRPr="003C0457">
        <w:rPr>
          <w:rFonts w:ascii="微软雅黑" w:eastAsia="微软雅黑" w:hAnsi="微软雅黑" w:cs="宋体" w:hint="eastAsia"/>
          <w:color w:val="333333"/>
          <w:kern w:val="0"/>
          <w:sz w:val="27"/>
          <w:szCs w:val="27"/>
        </w:rPr>
        <w:br/>
        <w:t xml:space="preserve">　　第六条　专项资金优先采取股权投资、建立产业基金、政府和社会</w:t>
      </w:r>
      <w:r w:rsidRPr="003C0457">
        <w:rPr>
          <w:rFonts w:ascii="微软雅黑" w:eastAsia="微软雅黑" w:hAnsi="微软雅黑" w:cs="宋体" w:hint="eastAsia"/>
          <w:color w:val="333333"/>
          <w:kern w:val="0"/>
          <w:sz w:val="27"/>
          <w:szCs w:val="27"/>
        </w:rPr>
        <w:lastRenderedPageBreak/>
        <w:t>资本合作（PPP）等市场化方式，对符合要求的企业和单位予以支持，也可采取贷款贴息、财政补助的支持方式。</w:t>
      </w:r>
      <w:r w:rsidRPr="003C0457">
        <w:rPr>
          <w:rFonts w:ascii="微软雅黑" w:eastAsia="微软雅黑" w:hAnsi="微软雅黑" w:cs="宋体" w:hint="eastAsia"/>
          <w:color w:val="333333"/>
          <w:kern w:val="0"/>
          <w:sz w:val="27"/>
          <w:szCs w:val="27"/>
        </w:rPr>
        <w:br/>
        <w:t xml:space="preserve">　　第七条　专项资金主要用于上述支持范围的项目建设支出，不得用于征地拆迁、人员经费等经常性开支以及提取工作经费。</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第三章　资金分配方式</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　　第八条　专项资金原则上以因素法分配，确需考虑专业规划布局、项目特点的，采取项目法分配。</w:t>
      </w:r>
      <w:r w:rsidRPr="003C0457">
        <w:rPr>
          <w:rFonts w:ascii="微软雅黑" w:eastAsia="微软雅黑" w:hAnsi="微软雅黑" w:cs="宋体" w:hint="eastAsia"/>
          <w:color w:val="333333"/>
          <w:kern w:val="0"/>
          <w:sz w:val="27"/>
          <w:szCs w:val="27"/>
        </w:rPr>
        <w:br/>
        <w:t xml:space="preserve">　　第九条　因素法分配资金主要依据产业行业布局、支持重点、各地区相关发展指标、工作基础，及当年预算规模、以前年度资金使用情况、地方财力等因素，经测算后下达到省级财政部门。</w:t>
      </w:r>
      <w:r w:rsidRPr="003C0457">
        <w:rPr>
          <w:rFonts w:ascii="微软雅黑" w:eastAsia="微软雅黑" w:hAnsi="微软雅黑" w:cs="宋体" w:hint="eastAsia"/>
          <w:color w:val="333333"/>
          <w:kern w:val="0"/>
          <w:sz w:val="27"/>
          <w:szCs w:val="27"/>
        </w:rPr>
        <w:br/>
        <w:t xml:space="preserve">　　第十条　项目法分配资金通过专家评审、竞争性谈判、招标等方式选拔，专项资金安排到符合要求的企业或单位。</w:t>
      </w:r>
      <w:r w:rsidRPr="003C0457">
        <w:rPr>
          <w:rFonts w:ascii="微软雅黑" w:eastAsia="微软雅黑" w:hAnsi="微软雅黑" w:cs="宋体" w:hint="eastAsia"/>
          <w:color w:val="333333"/>
          <w:kern w:val="0"/>
          <w:sz w:val="27"/>
          <w:szCs w:val="27"/>
        </w:rPr>
        <w:br/>
        <w:t xml:space="preserve">　　第十一条　需要选择试点地区时，试点地区以有关专业规划布局或专家评审、竞争择优等方式统筹确定。</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第四章　预算管理</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　　第十二条　每年4月30日前，财政部会同相关业务主管部门，视业务需要及工作基础，印发工作通知，明确当年专项资金的实施目的、基本原则、主要任务、中央财政资金支持重点及工作要求等具体内容。</w:t>
      </w:r>
      <w:r w:rsidRPr="003C0457">
        <w:rPr>
          <w:rFonts w:ascii="微软雅黑" w:eastAsia="微软雅黑" w:hAnsi="微软雅黑" w:cs="宋体" w:hint="eastAsia"/>
          <w:color w:val="333333"/>
          <w:kern w:val="0"/>
          <w:sz w:val="27"/>
          <w:szCs w:val="27"/>
        </w:rPr>
        <w:br/>
        <w:t xml:space="preserve">　　第十三条　符合工作要求及条件的地区，由省级财政部门会同同级业务主管部门在规定时间内，以正式文件的形式向财政部及相关业务主管部门报送本省实施方案。</w:t>
      </w:r>
      <w:r w:rsidRPr="003C0457">
        <w:rPr>
          <w:rFonts w:ascii="微软雅黑" w:eastAsia="微软雅黑" w:hAnsi="微软雅黑" w:cs="宋体" w:hint="eastAsia"/>
          <w:color w:val="333333"/>
          <w:kern w:val="0"/>
          <w:sz w:val="27"/>
          <w:szCs w:val="27"/>
        </w:rPr>
        <w:br/>
      </w:r>
      <w:r w:rsidRPr="003C0457">
        <w:rPr>
          <w:rFonts w:ascii="微软雅黑" w:eastAsia="微软雅黑" w:hAnsi="微软雅黑" w:cs="宋体" w:hint="eastAsia"/>
          <w:color w:val="333333"/>
          <w:kern w:val="0"/>
          <w:sz w:val="27"/>
          <w:szCs w:val="27"/>
        </w:rPr>
        <w:lastRenderedPageBreak/>
        <w:t xml:space="preserve">　　第十四条　财政部按照预算管理程序，对各省报送的实施方案、相关业务主管部门提出的预算初步建议进行审核后，于每年6月15日前将专项资金全部下达到省级财政部门。</w:t>
      </w:r>
      <w:r w:rsidRPr="003C0457">
        <w:rPr>
          <w:rFonts w:ascii="微软雅黑" w:eastAsia="微软雅黑" w:hAnsi="微软雅黑" w:cs="宋体" w:hint="eastAsia"/>
          <w:color w:val="333333"/>
          <w:kern w:val="0"/>
          <w:sz w:val="27"/>
          <w:szCs w:val="27"/>
        </w:rPr>
        <w:br/>
        <w:t xml:space="preserve">　　第十五条　省级财政部门收到专项资金后，应当在7月15日前全部下达到县级以上财政部门。</w:t>
      </w:r>
      <w:r w:rsidRPr="003C0457">
        <w:rPr>
          <w:rFonts w:ascii="微软雅黑" w:eastAsia="微软雅黑" w:hAnsi="微软雅黑" w:cs="宋体" w:hint="eastAsia"/>
          <w:color w:val="333333"/>
          <w:kern w:val="0"/>
          <w:sz w:val="27"/>
          <w:szCs w:val="27"/>
        </w:rPr>
        <w:br/>
        <w:t xml:space="preserve">　　第十六条　省级财政部门会同同级业务主管部门根据下达的专项资金额度及工作通知要求，结合前期报送的实施方案，制定资金使用具体方案，于资金下达3个月内报财政部及有关业务主管部门备案。备案内容包括：绩效目标、具体项目、项目总投资、项目资金来源、主要建设内容、建设地点、项目开竣工期限等。</w:t>
      </w:r>
      <w:r w:rsidRPr="003C0457">
        <w:rPr>
          <w:rFonts w:ascii="微软雅黑" w:eastAsia="微软雅黑" w:hAnsi="微软雅黑" w:cs="宋体" w:hint="eastAsia"/>
          <w:color w:val="333333"/>
          <w:kern w:val="0"/>
          <w:sz w:val="27"/>
          <w:szCs w:val="27"/>
        </w:rPr>
        <w:br/>
        <w:t xml:space="preserve">　　第十七条　专项资金安排意见备案前应通过互联网等媒介向社会公示，公示期不少于10个工作日，公示无异议后方可上报并组织实施。</w:t>
      </w:r>
      <w:r w:rsidRPr="003C0457">
        <w:rPr>
          <w:rFonts w:ascii="微软雅黑" w:eastAsia="微软雅黑" w:hAnsi="微软雅黑" w:cs="宋体" w:hint="eastAsia"/>
          <w:color w:val="333333"/>
          <w:kern w:val="0"/>
          <w:sz w:val="27"/>
          <w:szCs w:val="27"/>
        </w:rPr>
        <w:br/>
        <w:t xml:space="preserve">　　第十八条　专项资金安排意见备案后不得随意调整。确需调整的，应将项目调整情况及调整原因报财政部及有关业务主管部门备案。</w:t>
      </w:r>
      <w:r w:rsidRPr="003C0457">
        <w:rPr>
          <w:rFonts w:ascii="微软雅黑" w:eastAsia="微软雅黑" w:hAnsi="微软雅黑" w:cs="宋体" w:hint="eastAsia"/>
          <w:color w:val="333333"/>
          <w:kern w:val="0"/>
          <w:sz w:val="27"/>
          <w:szCs w:val="27"/>
        </w:rPr>
        <w:br/>
        <w:t xml:space="preserve">　　第十九条　地方各级财政部门要加强专项资金与地方财政资金以及中央财政其他资金的统筹使用，对中央财政其他资金已经支持的项目，专项资金原则上不再支持。</w:t>
      </w:r>
      <w:r w:rsidRPr="003C0457">
        <w:rPr>
          <w:rFonts w:ascii="微软雅黑" w:eastAsia="微软雅黑" w:hAnsi="微软雅黑" w:cs="宋体" w:hint="eastAsia"/>
          <w:color w:val="333333"/>
          <w:kern w:val="0"/>
          <w:sz w:val="27"/>
          <w:szCs w:val="27"/>
        </w:rPr>
        <w:br/>
        <w:t xml:space="preserve">　　第二十条　地方各级财政部门要严格按照预算管理及国库集中支付制度等有关规定，加强专项资金支付管理，确保专项资金及时、有效、安全支付。</w:t>
      </w:r>
      <w:r w:rsidRPr="003C0457">
        <w:rPr>
          <w:rFonts w:ascii="微软雅黑" w:eastAsia="微软雅黑" w:hAnsi="微软雅黑" w:cs="宋体" w:hint="eastAsia"/>
          <w:color w:val="333333"/>
          <w:kern w:val="0"/>
          <w:sz w:val="27"/>
          <w:szCs w:val="27"/>
        </w:rPr>
        <w:br/>
        <w:t xml:space="preserve">　　第二十一条　省级财政部门会同同级业务主管部门按照资金管理有关规定以及有关业务指导文件要求，加强对项目建设的监管并及时验</w:t>
      </w:r>
      <w:r w:rsidRPr="003C0457">
        <w:rPr>
          <w:rFonts w:ascii="微软雅黑" w:eastAsia="微软雅黑" w:hAnsi="微软雅黑" w:cs="宋体" w:hint="eastAsia"/>
          <w:color w:val="333333"/>
          <w:kern w:val="0"/>
          <w:sz w:val="27"/>
          <w:szCs w:val="27"/>
        </w:rPr>
        <w:lastRenderedPageBreak/>
        <w:t>收，于每年1月底前报送上年度专项资金项目实施及绩效情况总结。</w:t>
      </w:r>
      <w:r w:rsidRPr="003C0457">
        <w:rPr>
          <w:rFonts w:ascii="微软雅黑" w:eastAsia="微软雅黑" w:hAnsi="微软雅黑" w:cs="宋体" w:hint="eastAsia"/>
          <w:color w:val="333333"/>
          <w:kern w:val="0"/>
          <w:sz w:val="27"/>
          <w:szCs w:val="27"/>
        </w:rPr>
        <w:br/>
        <w:t xml:space="preserve">　　第二十二条　申请专项资金的企业应当符合以下基本条件：</w:t>
      </w:r>
      <w:r w:rsidRPr="003C0457">
        <w:rPr>
          <w:rFonts w:ascii="微软雅黑" w:eastAsia="微软雅黑" w:hAnsi="微软雅黑" w:cs="宋体" w:hint="eastAsia"/>
          <w:color w:val="333333"/>
          <w:kern w:val="0"/>
          <w:sz w:val="27"/>
          <w:szCs w:val="27"/>
        </w:rPr>
        <w:br/>
        <w:t xml:space="preserve">　　（一）在中华人民共和国境内依法登记注册，具有独立法人资格；</w:t>
      </w:r>
      <w:r w:rsidRPr="003C0457">
        <w:rPr>
          <w:rFonts w:ascii="微软雅黑" w:eastAsia="微软雅黑" w:hAnsi="微软雅黑" w:cs="宋体" w:hint="eastAsia"/>
          <w:color w:val="333333"/>
          <w:kern w:val="0"/>
          <w:sz w:val="27"/>
          <w:szCs w:val="27"/>
        </w:rPr>
        <w:br/>
        <w:t xml:space="preserve">　　（二）按照有关规定已取得开展相关业务的资格；</w:t>
      </w:r>
      <w:r w:rsidRPr="003C0457">
        <w:rPr>
          <w:rFonts w:ascii="微软雅黑" w:eastAsia="微软雅黑" w:hAnsi="微软雅黑" w:cs="宋体" w:hint="eastAsia"/>
          <w:color w:val="333333"/>
          <w:kern w:val="0"/>
          <w:sz w:val="27"/>
          <w:szCs w:val="27"/>
        </w:rPr>
        <w:br/>
        <w:t xml:space="preserve">　　（三）主营业务属于本办法第五条规定的支持范围，业务模式明确，人才资源具备，经营能力突出；</w:t>
      </w:r>
      <w:r w:rsidRPr="003C0457">
        <w:rPr>
          <w:rFonts w:ascii="微软雅黑" w:eastAsia="微软雅黑" w:hAnsi="微软雅黑" w:cs="宋体" w:hint="eastAsia"/>
          <w:color w:val="333333"/>
          <w:kern w:val="0"/>
          <w:sz w:val="27"/>
          <w:szCs w:val="27"/>
        </w:rPr>
        <w:br/>
        <w:t xml:space="preserve">　　（四）建立了规范的财务管理制度，近5年来无违法违纪行为，信用记录良好。</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第五章　监督管理</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　　第二十三条　获得专项资金的企业、单位收到资金后，应当按照国家财务、会计制度的有关规定进行账务处理，严格按照规定使用资金，并自觉接受监督检查。</w:t>
      </w:r>
      <w:r w:rsidRPr="003C0457">
        <w:rPr>
          <w:rFonts w:ascii="微软雅黑" w:eastAsia="微软雅黑" w:hAnsi="微软雅黑" w:cs="宋体" w:hint="eastAsia"/>
          <w:color w:val="333333"/>
          <w:kern w:val="0"/>
          <w:sz w:val="27"/>
          <w:szCs w:val="27"/>
        </w:rPr>
        <w:br/>
        <w:t xml:space="preserve">　　第二十四条　地方各级财政部门会同同级业务主管部门按职责分工加强对专项资金安排使用情况绩效评价，评价重点是预算执行进度、项目建设实施情况、项目社会及经济效益等。</w:t>
      </w:r>
      <w:r w:rsidRPr="003C0457">
        <w:rPr>
          <w:rFonts w:ascii="微软雅黑" w:eastAsia="微软雅黑" w:hAnsi="微软雅黑" w:cs="宋体" w:hint="eastAsia"/>
          <w:color w:val="333333"/>
          <w:kern w:val="0"/>
          <w:sz w:val="27"/>
          <w:szCs w:val="27"/>
        </w:rPr>
        <w:br/>
        <w:t xml:space="preserve">　　第二十五条　地方各级财政部门应当会同同级业务主管部门，加强对项目执行情况和专项资金使用情况的监督检查。财政部将不定期抽查。对于截留、挤占、挪用、骗取专项资金等违法行为，一经查实，财政部将收回已安排的专项资金，并按照《财政违法行为处罚处分条例》等国家有关规定追究法律责任。</w:t>
      </w:r>
    </w:p>
    <w:p w:rsidR="003C0457" w:rsidRPr="003C0457" w:rsidRDefault="003C0457" w:rsidP="003C0457">
      <w:pPr>
        <w:widowControl/>
        <w:shd w:val="clear" w:color="auto" w:fill="FFFFFF"/>
        <w:spacing w:before="225"/>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第六章　附　　则</w:t>
      </w:r>
    </w:p>
    <w:p w:rsidR="003C0457" w:rsidRPr="003C0457" w:rsidRDefault="003C0457" w:rsidP="003C0457">
      <w:pPr>
        <w:widowControl/>
        <w:shd w:val="clear" w:color="auto" w:fill="FFFFFF"/>
        <w:spacing w:before="225"/>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 xml:space="preserve">　　第二十六条　省级财政部门应根据本办法，结合本地实际，制定实施细则，报财政部备案。</w:t>
      </w:r>
      <w:r w:rsidRPr="003C0457">
        <w:rPr>
          <w:rFonts w:ascii="微软雅黑" w:eastAsia="微软雅黑" w:hAnsi="微软雅黑" w:cs="宋体" w:hint="eastAsia"/>
          <w:color w:val="333333"/>
          <w:kern w:val="0"/>
          <w:sz w:val="27"/>
          <w:szCs w:val="27"/>
        </w:rPr>
        <w:br/>
        <w:t xml:space="preserve">　　实施细则应进一步明确资金支持范围、支持方式、列支范围、项目实施单位遴选条件、遴选程序、资金支付方式和进度、预算执行监督检查、绩效评价及信息公开等内容，突出可操作性和实效性。</w:t>
      </w:r>
      <w:r w:rsidRPr="003C0457">
        <w:rPr>
          <w:rFonts w:ascii="微软雅黑" w:eastAsia="微软雅黑" w:hAnsi="微软雅黑" w:cs="宋体" w:hint="eastAsia"/>
          <w:color w:val="333333"/>
          <w:kern w:val="0"/>
          <w:sz w:val="27"/>
          <w:szCs w:val="27"/>
        </w:rPr>
        <w:br/>
        <w:t xml:space="preserve">　　第二十七条　本办法自发布之日起施行。《农村物流服务体系发展专项资金管理办法》（财建〔2009〕228号）、《中小商贸企业发展专项资金管理暂行办法》（财建〔2009〕229号）、《新农村现代流通服务网络工程专项资金管理办法》（财建〔2009〕630号）以及《中央财政促进服务业发展专项资金管理办法》（财建〔2013〕469号）同时废止。</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32" w:name="_Toc12864192"/>
      <w:r w:rsidRPr="003C0457">
        <w:rPr>
          <w:rFonts w:hint="eastAsia"/>
          <w:sz w:val="30"/>
          <w:szCs w:val="30"/>
          <w:lang w:val="zh-CN"/>
        </w:rPr>
        <w:lastRenderedPageBreak/>
        <w:t>财政部关于推进地方盘活财政存量资金有关事项的通知（财预〔</w:t>
      </w:r>
      <w:r w:rsidRPr="003C0457">
        <w:rPr>
          <w:rFonts w:hint="eastAsia"/>
          <w:sz w:val="30"/>
          <w:szCs w:val="30"/>
          <w:lang w:val="zh-CN"/>
        </w:rPr>
        <w:t>2015</w:t>
      </w:r>
      <w:r w:rsidRPr="003C0457">
        <w:rPr>
          <w:rFonts w:hint="eastAsia"/>
          <w:sz w:val="30"/>
          <w:szCs w:val="30"/>
          <w:lang w:val="zh-CN"/>
        </w:rPr>
        <w:t>〕</w:t>
      </w:r>
      <w:r w:rsidRPr="003C0457">
        <w:rPr>
          <w:rFonts w:hint="eastAsia"/>
          <w:sz w:val="30"/>
          <w:szCs w:val="30"/>
          <w:lang w:val="zh-CN"/>
        </w:rPr>
        <w:t>15</w:t>
      </w:r>
      <w:r w:rsidRPr="003C0457">
        <w:rPr>
          <w:rFonts w:hint="eastAsia"/>
          <w:sz w:val="30"/>
          <w:szCs w:val="30"/>
          <w:lang w:val="zh-CN"/>
        </w:rPr>
        <w:t>号）</w:t>
      </w:r>
      <w:bookmarkEnd w:id="32"/>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各省、自治区、直辖市、计划单列市财政厅（局）：</w:t>
      </w:r>
      <w:r w:rsidRPr="003C0457">
        <w:rPr>
          <w:rFonts w:ascii="微软雅黑" w:eastAsia="微软雅黑" w:hAnsi="微软雅黑" w:hint="eastAsia"/>
          <w:color w:val="333333"/>
          <w:sz w:val="27"/>
          <w:szCs w:val="27"/>
        </w:rPr>
        <w:br/>
        <w:t xml:space="preserve">　　为贯彻落实《</w:t>
      </w:r>
      <w:hyperlink r:id="rId21" w:history="1">
        <w:r w:rsidRPr="003C0457">
          <w:rPr>
            <w:rFonts w:ascii="微软雅黑" w:eastAsia="微软雅黑" w:hAnsi="微软雅黑" w:hint="eastAsia"/>
            <w:color w:val="333333"/>
            <w:sz w:val="27"/>
            <w:szCs w:val="27"/>
          </w:rPr>
          <w:t>国务院办公厅关于进一步做好盘活财政存量资金工作的通知</w:t>
        </w:r>
      </w:hyperlink>
      <w:r w:rsidRPr="003C0457">
        <w:rPr>
          <w:rFonts w:ascii="微软雅黑" w:eastAsia="微软雅黑" w:hAnsi="微软雅黑" w:hint="eastAsia"/>
          <w:color w:val="333333"/>
          <w:sz w:val="27"/>
          <w:szCs w:val="27"/>
        </w:rPr>
        <w:t>》（</w:t>
      </w:r>
      <w:hyperlink r:id="rId22" w:history="1">
        <w:r w:rsidRPr="003C0457">
          <w:rPr>
            <w:rFonts w:ascii="微软雅黑" w:eastAsia="微软雅黑" w:hAnsi="微软雅黑" w:hint="eastAsia"/>
            <w:color w:val="333333"/>
            <w:sz w:val="27"/>
            <w:szCs w:val="27"/>
          </w:rPr>
          <w:t>国办发〔2014〕70号</w:t>
        </w:r>
      </w:hyperlink>
      <w:r w:rsidRPr="003C0457">
        <w:rPr>
          <w:rFonts w:ascii="微软雅黑" w:eastAsia="微软雅黑" w:hAnsi="微软雅黑" w:hint="eastAsia"/>
          <w:color w:val="333333"/>
          <w:sz w:val="27"/>
          <w:szCs w:val="27"/>
        </w:rPr>
        <w:t>，以下简称《通知》）有关规定，切实提高财政资金使用效率，现就推进地方盘活财政存量资金有关事项通知如下：</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一、明确结转结余资金的范围及清理措施</w:t>
      </w:r>
      <w:r w:rsidRPr="003C0457">
        <w:rPr>
          <w:rFonts w:ascii="微软雅黑" w:eastAsia="微软雅黑" w:hAnsi="微软雅黑" w:hint="eastAsia"/>
          <w:color w:val="333333"/>
          <w:sz w:val="27"/>
          <w:szCs w:val="27"/>
        </w:rPr>
        <w:br/>
        <w:t xml:space="preserve">　　（一）关于一般公共预算结转结余资金。一般公共预算结转结余资金，是指一般公共预算尚未下达地方和部门、留在各级财政部门的结转结余资金，不含上级专项转移支付结转结余资金。</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一般公共预算结转结余资金（含从2015年起由政府性基金预算转列一般公共预算的结转结余资金），除权责发生制核算事项外，结转两年以上的资金，应当作为结余资金管理，全部补充预算稳定调节基金。未满两年但调整用途的结转资金，其结转时间应按初次安排预算的时间计算，不得重新计算。已按权责发生制核算的事项最迟要在2016年底前使用完毕，地方规定时间更为提前的，从其规定。</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（二）关于政府性基金预算结转资金。政府性基金预算结转资金，是指政府性基金预算尚未下达到地方和部门、留在各级政府财政部门中的结转资金，不含上级专项转移支付结转资金。</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 xml:space="preserve">　　政府性基金预算结转资金规模较大的，应调入一般公共预算统筹使用，调入的基金应补充预算稳定调节基金。每一项政府性基金结转资金规模一般不超过该项基金当年收入的30%，地方可在此基础上实行更严格的统筹使用措施。</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（三）关于转移支付结转结余资金。转移支付结转结余资金，既包括一般公共预算安排的转移支付，也包括政府性基金预算安排的转移支付。</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上级财政专项转移支付结转结余资金中，预算尚未分配到部门和地方并结转两年以上的资金，由下级财政交回上级财政统筹使用；未满两年的结转资金，同级财政可在不改变资金类级科目用途的基础上，调整用于同一类级科目下的其他项目。预算已分配到部门并结转两年以上的结余资金，由同级财政收回统筹使用。收回的结转结余资金，作为权责发生制核算事项，应在两年内使用完毕。专项转移支付结转结余资金交回、收回或用途调整有关情况应及时汇总报送上级财政部门和业务主管部门备案。</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（四）关于部门预算结转结余资金。部门预算结转结余资金，既包括一般公共预算安排的部门预算结转结余资金，也包括政府性基金预算安排的部门预算结转结余资金。</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部门预算结余资金以及结转两年以上的资金（包括基建资金和非基建资金），由同级财政收回统筹使用。收回统筹使用的资金作为权责发生制事项单独核算，并应在两年内使用完毕。</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 xml:space="preserve">　　财政收回转移支付结转结余资金、部门预算结转结余资金时，借记“国库存款”科目，贷记“暂存款”科目。安排使用时，按原预算科目支出的，借记“暂存款”科目；调整支出科目的，应按原结转预算科目做冲销处理，借记“暂存款”，贷记“一般预算支出”等科目，同时按实际支出预算科目作列支账务处理，借记“一般预算支出”等科目，贷记“国库存款”等科目。</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二、规范结转结余资金收回程序</w:t>
      </w:r>
      <w:r w:rsidRPr="003C0457">
        <w:rPr>
          <w:rFonts w:ascii="微软雅黑" w:eastAsia="微软雅黑" w:hAnsi="微软雅黑" w:hint="eastAsia"/>
          <w:color w:val="333333"/>
          <w:sz w:val="27"/>
          <w:szCs w:val="27"/>
        </w:rPr>
        <w:br/>
        <w:t xml:space="preserve">　　（一）各省级财政部门应根据规定，尽快组织对本省（区、市）截至2014年底的财政存量资金进行清理统计，并将执行</w:t>
      </w:r>
      <w:hyperlink r:id="rId23" w:history="1">
        <w:r w:rsidRPr="003C0457">
          <w:rPr>
            <w:rFonts w:ascii="微软雅黑" w:eastAsia="微软雅黑" w:hAnsi="微软雅黑" w:hint="eastAsia"/>
            <w:color w:val="333333"/>
            <w:sz w:val="27"/>
            <w:szCs w:val="27"/>
          </w:rPr>
          <w:t>国办发〔2014〕70号</w:t>
        </w:r>
      </w:hyperlink>
      <w:r w:rsidRPr="003C0457">
        <w:rPr>
          <w:rFonts w:ascii="微软雅黑" w:eastAsia="微软雅黑" w:hAnsi="微软雅黑" w:hint="eastAsia"/>
          <w:color w:val="333333"/>
          <w:sz w:val="27"/>
          <w:szCs w:val="27"/>
        </w:rPr>
        <w:t>文件的情况，以及2015年2月底前已统筹使用财政存量资金的情况，按照附件表一至表十四格式填报，经同级人民政府批准后，于2015年3月15日前报送财政部，并抄送财政部驻当地财政监察专员办事处（以下简称专员办）。</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二）财政部根据省级财政部门报送的2014年底财政存量资金清理统计情况，对省级财政部门应交回结转结余资金，采取预上缴、后清算方式办理，由各省级财政部门专项上解中央财政，年终结合专员办审核意见据实清算。</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（三）各专员办应对本地财政部门报送财政存量资金统计数据的完整性、真实性等进行严格审核，于2015年5月31日前将审核意见报财政部。</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 xml:space="preserve">　　（四）为做好政策衔接，按照《通知》规定应补充预算稳定调节基金、交回上级财政或由同级财政收回统筹使用的结转结余资金，在2015年2月28日前已形成实际支出的，可不再追溯调整；2月28日后不得再形成实际支出，否则须追溯调整。收回资金的项目需要在2015年及以后年度继续实施的，应作为新的预算项目管理，按照程序重新申请和安排。</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（五）以后年度收回财政存量资金工作比照上述方式办理。</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三、建立财政存量资金定期报告制度</w:t>
      </w:r>
      <w:r w:rsidRPr="003C0457">
        <w:rPr>
          <w:rFonts w:ascii="微软雅黑" w:eastAsia="微软雅黑" w:hAnsi="微软雅黑" w:hint="eastAsia"/>
          <w:color w:val="333333"/>
          <w:sz w:val="27"/>
          <w:szCs w:val="27"/>
        </w:rPr>
        <w:br/>
        <w:t xml:space="preserve">　　（一）各省级财政部门要跟踪监控本省（区、市）财政存量资金情况，按照附件表九至表十四格式统计汇总财政存量资金，经同级人民政府批准后，于每季度结束后15日内报送财政部，并抄财政部驻当地专员办。</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二）各省级财政部门应将每季度本省（区、市）财政存量资金情况与上一季度财政存量资金情况、本季度财政库款余额等进行比较，分析增减变化及差异原因，撰写分析报告随同财政存量资金表格一并报送财政部。</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四、完善相关保障措施</w:t>
      </w:r>
      <w:r w:rsidRPr="003C0457">
        <w:rPr>
          <w:rFonts w:ascii="微软雅黑" w:eastAsia="微软雅黑" w:hAnsi="微软雅黑" w:hint="eastAsia"/>
          <w:color w:val="333333"/>
          <w:sz w:val="27"/>
          <w:szCs w:val="27"/>
        </w:rPr>
        <w:br/>
        <w:t xml:space="preserve">　　（一）健全制度办法。各级财政部门要按照《通知》有关要求，加快制定各项财政存量资金管理办法，着力建立盘活财政存量资金与预算编制、执行等挂钩机制。现有管理办法与《通知》相冲突的，要尽快修改完善。</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 xml:space="preserve">　　（二）加强预算管理。各级财政部门要加强预算编制管理，逐步推进实行地方中期财政规划管理，不断提高年初预算到位率；提前做好项目前期准备工作，加快预算批复和转移支付下达进度，杜绝各类虚假列支行为，严格控制新增财政存量资金。</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三）发挥资金效益。各级财政部门要以稳增长、促改革、调结构、惠民生为目标，对应按原用途使用的资金，尽快拨付投入使用；对不需按原用途使用的资金，收回主要统筹用于棚户区改造、城市基础设施、铁路公路建设、重大水利工程等重点领域，提高财政资金使用效益。</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（四）强化检查督促。各级财政部门应加强盘活财政存量资金检查，督促各部门各单位严格落实国务院规定，对支出进度慢、盘活财政存量资金不力的地区或部门及时通报或约谈。</w:t>
      </w:r>
    </w:p>
    <w:p w:rsidR="003C0457" w:rsidRPr="003C0457" w:rsidRDefault="003C0457" w:rsidP="003C0457">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 xml:space="preserve">　　特此通知。</w:t>
      </w: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pStyle w:val="3"/>
        <w:jc w:val="center"/>
        <w:rPr>
          <w:sz w:val="30"/>
          <w:szCs w:val="30"/>
          <w:lang w:val="zh-CN"/>
        </w:rPr>
      </w:pPr>
      <w:bookmarkStart w:id="33" w:name="_Toc12864193"/>
      <w:r w:rsidRPr="003C0457">
        <w:rPr>
          <w:rFonts w:hint="eastAsia"/>
          <w:sz w:val="30"/>
          <w:szCs w:val="30"/>
          <w:lang w:val="zh-CN"/>
        </w:rPr>
        <w:lastRenderedPageBreak/>
        <w:t>财政部关于印发《地方政府存量债务纳入预算管理清理甄别办法》的通知（财预〔</w:t>
      </w:r>
      <w:r w:rsidRPr="003C0457">
        <w:rPr>
          <w:rFonts w:hint="eastAsia"/>
          <w:sz w:val="30"/>
          <w:szCs w:val="30"/>
          <w:lang w:val="zh-CN"/>
        </w:rPr>
        <w:t>2014</w:t>
      </w:r>
      <w:r w:rsidRPr="003C0457">
        <w:rPr>
          <w:rFonts w:hint="eastAsia"/>
          <w:sz w:val="30"/>
          <w:szCs w:val="30"/>
          <w:lang w:val="zh-CN"/>
        </w:rPr>
        <w:t>〕</w:t>
      </w:r>
      <w:r w:rsidRPr="003C0457">
        <w:rPr>
          <w:rFonts w:hint="eastAsia"/>
          <w:sz w:val="30"/>
          <w:szCs w:val="30"/>
          <w:lang w:val="zh-CN"/>
        </w:rPr>
        <w:t>351</w:t>
      </w:r>
      <w:r w:rsidRPr="003C0457">
        <w:rPr>
          <w:rFonts w:hint="eastAsia"/>
          <w:sz w:val="30"/>
          <w:szCs w:val="30"/>
          <w:lang w:val="zh-CN"/>
        </w:rPr>
        <w:t>号）</w:t>
      </w:r>
      <w:bookmarkEnd w:id="33"/>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各省、自治区、直辖市、计划单列市财政厅（局）：</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为进一步加强地方政府性债务管理,做好地方政府存量债务纳入预算管理相关工作，根据《国务院关于加强地方政府性债务管理的意见》（国发[2014]43号），财政部制定了《地方政府存量债务纳入预算管理清理甄别办法》，现印发给你们，请认真贯彻执行。</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附件：地方政府存量债务纳入预算管理清理甄别办法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抄送：财政部驻各省、自治区、直辖市、计划单列市财政监察专员办事处。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附件：</w:t>
      </w:r>
    </w:p>
    <w:p w:rsidR="003C0457" w:rsidRPr="003C0457" w:rsidRDefault="003C0457" w:rsidP="003C0457">
      <w:pPr>
        <w:widowControl/>
        <w:spacing w:before="100" w:beforeAutospacing="1" w:after="100" w:afterAutospacing="1" w:line="432" w:lineRule="auto"/>
        <w:jc w:val="center"/>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地方政府存量债务纳入预算管理清理甄别办法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第一条为贯彻落实《国务院关于加强地方政府性债务管理的意见》（国发[2014]43号，以下简称《意见》），做好地方政府存量债务纳入预算管理清理甄别工作，制定本办法。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第二条清理甄别工作的目的，是清理存量债务，甄别政府债务，为将政府债务分门别类纳入全口径预算管理奠定基础。</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第三条本办法所指存量债务是指截至2014年12月31日尚未清偿完毕的债务。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第四条清理甄别工作由地方政府统一领导、财政部门具体牵头、部门单位各负其责。</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五条地方各级政府要结合清理甄别工作，认真甄别筛选融资平台公司存量项目，对适宜开展政府与社会资本合作（PPP）模式的项目，要大力推广PPP模式，达到既鼓励社会资本参与提供公共产品和公共服务并获取合理回报，又减轻政府公共财政举债压力、腾出更多资金用于重点民生项目建设的目的。</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第六条清理甄别工作按照先清理、后甄别的顺序开展。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七条清理工作由地方政府性债务存量的举借单位（以下简称债务单位）具体负责，主管部门和财政部门审核把关。债务单位应与债权人共同协商确认，根据合同逐笔核对债务明细数据。对核对无误的债务数据，债务单位要根据审计口径确定的地方政府负有偿还责任的债务、地方政府负有担保责任的债务及地方政府可能承担一定救助责任的债务分类填报，经主管部门审核汇总报送财政部门。其中：</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（一）2013年全国政府性债务审计确定的截至2013年6月30日的各笔债务，其截至2014年12月31日债务数据根据审计结果及地方政府性债务管理系统（以下简称债务系统）统计的债务增减变化额填报。</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（二）2013年6月30日后新发生的各笔债务，其截至2014年12月31日债务根据债务系统统计数据及审计口径填报。</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第八条财政部门审核汇总各主管部门上报的债务数据，凡与审计结果或审计口径不一致的，应退回债务单位重新核实填报。</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第九条对按照政府性债务审计结果、审计口径填报的地方政府性债务存量有争议的，争议双方提出解决方案及依据，经同级审计部门出具审计意见后，报同级政府确定。</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条清理工作要严格按照《意见》精神，明确政府和企业的责任，企业债务不得推给政府偿还，切实做到谁借谁还、风险自担。清理后确需将地方政府负有担保责任或可能承担一定救助责任的债务划转地方政府负有偿还责任的债务的，按照“权责利相一致”的原则，相应的资产、收入或权利等也应一并划转。</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第十一条甄别工作由财政部门牵头负责。财政部门商有关部门对地方政府负有偿还责任的存量债务进行逐笔甄别。其中:</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（一）通过PPP模式转化为企业债务的，不纳入政府债务。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（二）项目没有收益、计划偿债来源主要依靠一般公共预算收入的，甄别为一般债务。如义务教育债务。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（三）项目有一定收益、计划偿债来源依靠项目收益对应的政府性基金收入或专项收入、能够实现风险内部化的，甄别为专项债务。如土地储备债务。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（四）项目有一定收益但项目收益无法完全覆盖的，无法覆盖的部分列入一般债务，其他部分列入专项债务。</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第十二条地方各级政府要统计本级政府可偿债财力、可变现资产等情况，并测算政府一般债务和专项债务的债务率。凡债务率超过预警线的地区，必须做出书面说明并经政府主要负责人签字确认。</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第十三条地方各级政府要全面统计锁定截至《意见》发文日（9月21日）的在建项目。在建项目要优先通过PPP模式推进，确需政府举债建设的，要客观核算后续融资需求。</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第十四条地方各级政府要以2013年政府性债务审计确定的截至2013年6月30日融资平台公司名单为基础，结合2013年7月1日至2014年12月31日本级融资平台公司增减变化情况，统计本级融资平台公司名录。</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五条各部门、各单位负责人对本部门、本单位清理统计结果签字确认。财政部门负责人对本级政府存量债务甄别结果签字确认。政府主要负责人按财政管理级次对本地区清理甄别结果及各项统计情况签字确认。</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第十六条地方各级财政部门汇总本地区清理甄别结果，由同级审计部门出具审计意见并经同级政府批准后逐级上报，省级财政部门应于2015年1月5日前上报财政部。各项统计情况随清理甄别结果一同报送。</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七条地方各级政府要严格按照国务院批准的政府存量债务，锁定政府一般债务、专项债务余额。各级政府要将锁定后的政府存量债务情况及时向同级人大或其常委会报告，并按照预算公开有关要求及时向社会公开。</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第十八条地方各级政府要及时将政府存量债务分类纳入预算管理。具体办法另行制定。</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十九条财政部将各地清理甄别结果抄送审计署，各级财政部门将本级清理甄别结果抄送同级审计部门，作为今后年度相关审计工作重要参考。组织财政部驻各省、自治区、直辖市、计划单列市财政监察专员办事处核查各地报送数据，对虚增政府存量债务的，相应核减地方政府债券发行规模，并追究相关责任人责任。</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第二十条本办法自下发之日起实施。</w:t>
      </w:r>
    </w:p>
    <w:p w:rsidR="003C0457" w:rsidRPr="003C0457" w:rsidRDefault="003C0457" w:rsidP="003C0457">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第二十一条本办法由财政部负责解释。</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34" w:name="_Toc12864194"/>
      <w:r w:rsidRPr="003C0457">
        <w:rPr>
          <w:rFonts w:hint="eastAsia"/>
          <w:sz w:val="30"/>
          <w:szCs w:val="30"/>
          <w:lang w:val="zh-CN"/>
        </w:rPr>
        <w:lastRenderedPageBreak/>
        <w:t>财政部</w:t>
      </w:r>
      <w:r w:rsidRPr="003C0457">
        <w:rPr>
          <w:rFonts w:hint="eastAsia"/>
          <w:sz w:val="30"/>
          <w:szCs w:val="30"/>
          <w:lang w:val="zh-CN"/>
        </w:rPr>
        <w:t xml:space="preserve"> </w:t>
      </w:r>
      <w:r w:rsidRPr="003C0457">
        <w:rPr>
          <w:rFonts w:hint="eastAsia"/>
          <w:sz w:val="30"/>
          <w:szCs w:val="30"/>
          <w:lang w:val="zh-CN"/>
        </w:rPr>
        <w:t>国家税务总局关于公共基础设施项目享受企业所得税优惠政策问题的补充通知（财预〔</w:t>
      </w:r>
      <w:r w:rsidRPr="003C0457">
        <w:rPr>
          <w:rFonts w:hint="eastAsia"/>
          <w:sz w:val="30"/>
          <w:szCs w:val="30"/>
          <w:lang w:val="zh-CN"/>
        </w:rPr>
        <w:t>2012</w:t>
      </w:r>
      <w:r w:rsidRPr="003C0457">
        <w:rPr>
          <w:rFonts w:hint="eastAsia"/>
          <w:sz w:val="30"/>
          <w:szCs w:val="30"/>
          <w:lang w:val="zh-CN"/>
        </w:rPr>
        <w:t>〕</w:t>
      </w:r>
      <w:r w:rsidRPr="003C0457">
        <w:rPr>
          <w:rFonts w:hint="eastAsia"/>
          <w:sz w:val="30"/>
          <w:szCs w:val="30"/>
          <w:lang w:val="zh-CN"/>
        </w:rPr>
        <w:t>463</w:t>
      </w:r>
      <w:r w:rsidRPr="003C0457">
        <w:rPr>
          <w:rFonts w:hint="eastAsia"/>
          <w:sz w:val="30"/>
          <w:szCs w:val="30"/>
          <w:lang w:val="zh-CN"/>
        </w:rPr>
        <w:t>号）</w:t>
      </w:r>
      <w:bookmarkEnd w:id="34"/>
    </w:p>
    <w:p w:rsidR="003C0457" w:rsidRPr="003C0457" w:rsidRDefault="003C0457" w:rsidP="003C0457">
      <w:pP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各省、自治区、直辖市、计划单列市财政厅（局）、国家税务局、地方税务局，新疆生产建设兵团财务局：</w:t>
      </w:r>
      <w:r w:rsidRPr="003C0457">
        <w:rPr>
          <w:rFonts w:ascii="微软雅黑" w:eastAsia="微软雅黑" w:hAnsi="微软雅黑" w:cs="宋体" w:hint="eastAsia"/>
          <w:color w:val="333333"/>
          <w:kern w:val="0"/>
          <w:sz w:val="27"/>
          <w:szCs w:val="27"/>
        </w:rPr>
        <w:br/>
        <w:t>    　根据《中华人民共和国企业所得税法》和《中华人民共和国企业所得税法实施条例》（国务院令第512号）的有关规定，现就企业享受公共基础设施项目企业所得税优惠政策有关问题补充通知如下：</w:t>
      </w:r>
      <w:r w:rsidRPr="003C0457">
        <w:rPr>
          <w:rFonts w:ascii="微软雅黑" w:eastAsia="微软雅黑" w:hAnsi="微软雅黑" w:cs="宋体" w:hint="eastAsia"/>
          <w:color w:val="333333"/>
          <w:kern w:val="0"/>
          <w:sz w:val="27"/>
          <w:szCs w:val="27"/>
        </w:rPr>
        <w:br/>
        <w:t>    　一、企业投资经营符合《公共基础设施项目企业所得税优惠目录》规定条件和标准的公共基础设施项目，采用一次核准、分批次（如码头、泊位、航站楼、跑道、路段、发电机组等）建设的，凡同时符合以下条件的，可按每一批次为单位计算所得，并享受企业所得税“三免三减半”优惠：</w:t>
      </w:r>
      <w:r w:rsidRPr="003C0457">
        <w:rPr>
          <w:rFonts w:ascii="微软雅黑" w:eastAsia="微软雅黑" w:hAnsi="微软雅黑" w:cs="宋体" w:hint="eastAsia"/>
          <w:color w:val="333333"/>
          <w:kern w:val="0"/>
          <w:sz w:val="27"/>
          <w:szCs w:val="27"/>
        </w:rPr>
        <w:br/>
        <w:t>    　（一）不同批次在空间上相互独立；</w:t>
      </w:r>
      <w:r w:rsidRPr="003C0457">
        <w:rPr>
          <w:rFonts w:ascii="微软雅黑" w:eastAsia="微软雅黑" w:hAnsi="微软雅黑" w:cs="宋体" w:hint="eastAsia"/>
          <w:color w:val="333333"/>
          <w:kern w:val="0"/>
          <w:sz w:val="27"/>
          <w:szCs w:val="27"/>
        </w:rPr>
        <w:br/>
        <w:t>    　（二）每一批次自身具备取得收入的功能；</w:t>
      </w:r>
      <w:r w:rsidRPr="003C0457">
        <w:rPr>
          <w:rFonts w:ascii="微软雅黑" w:eastAsia="微软雅黑" w:hAnsi="微软雅黑" w:cs="宋体" w:hint="eastAsia"/>
          <w:color w:val="333333"/>
          <w:kern w:val="0"/>
          <w:sz w:val="27"/>
          <w:szCs w:val="27"/>
        </w:rPr>
        <w:br/>
        <w:t>    　（三）以每一批次为单位进行会计核算，单独计算所得，并合理分摊期间费用。</w:t>
      </w:r>
      <w:r w:rsidRPr="003C0457">
        <w:rPr>
          <w:rFonts w:ascii="微软雅黑" w:eastAsia="微软雅黑" w:hAnsi="微软雅黑" w:cs="宋体" w:hint="eastAsia"/>
          <w:color w:val="333333"/>
          <w:kern w:val="0"/>
          <w:sz w:val="27"/>
          <w:szCs w:val="27"/>
        </w:rPr>
        <w:br/>
        <w:t>    　二、公共基础设施项目企业所得税“三免三减半”优惠的其他问题，继续按《财政部国家税务总局关于执行公共基础设施项目企业所得税优惠目录有关问题的通知》（财税〔2008〕46号）、《国家税务总局关于实施国家重点扶持的公共基础设施项目企业所得税优惠问题的通知》（国税发〔2009〕80号）、《财政部国家税务总局关于公共基础设施项目和环境保护节能节水项目企业所得税优惠政策问题的通知》</w:t>
      </w:r>
      <w:r w:rsidRPr="003C0457">
        <w:rPr>
          <w:rFonts w:ascii="微软雅黑" w:eastAsia="微软雅黑" w:hAnsi="微软雅黑" w:cs="宋体" w:hint="eastAsia"/>
          <w:color w:val="333333"/>
          <w:kern w:val="0"/>
          <w:sz w:val="27"/>
          <w:szCs w:val="27"/>
        </w:rPr>
        <w:lastRenderedPageBreak/>
        <w:t>（财税〔2012〕10号）的规定执行。</w:t>
      </w:r>
      <w:r w:rsidRPr="003C0457">
        <w:rPr>
          <w:rFonts w:ascii="微软雅黑" w:eastAsia="微软雅黑" w:hAnsi="微软雅黑" w:cs="宋体" w:hint="eastAsia"/>
          <w:color w:val="333333"/>
          <w:kern w:val="0"/>
          <w:sz w:val="27"/>
          <w:szCs w:val="27"/>
        </w:rPr>
        <w:br/>
        <w:t>   　 请遵照执行。</w:t>
      </w:r>
    </w:p>
    <w:p w:rsidR="003C0457" w:rsidRPr="003C0457" w:rsidRDefault="003C0457" w:rsidP="003C0457">
      <w:pPr>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br/>
        <w:t>    　财政部　国家税务总局</w:t>
      </w:r>
      <w:r w:rsidRPr="003C0457">
        <w:rPr>
          <w:rFonts w:ascii="微软雅黑" w:eastAsia="微软雅黑" w:hAnsi="微软雅黑" w:cs="宋体" w:hint="eastAsia"/>
          <w:color w:val="333333"/>
          <w:kern w:val="0"/>
          <w:sz w:val="27"/>
          <w:szCs w:val="27"/>
        </w:rPr>
        <w:br/>
        <w:t>    　2014年7月4日</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35" w:name="_Toc12864195"/>
      <w:r w:rsidRPr="003C0457">
        <w:rPr>
          <w:rFonts w:hint="eastAsia"/>
          <w:sz w:val="30"/>
          <w:szCs w:val="30"/>
          <w:lang w:val="zh-CN"/>
        </w:rPr>
        <w:lastRenderedPageBreak/>
        <w:t>财政部</w:t>
      </w:r>
      <w:r w:rsidRPr="003C0457">
        <w:rPr>
          <w:rFonts w:hint="eastAsia"/>
          <w:sz w:val="30"/>
          <w:szCs w:val="30"/>
          <w:lang w:val="zh-CN"/>
        </w:rPr>
        <w:t xml:space="preserve"> </w:t>
      </w:r>
      <w:r w:rsidRPr="003C0457">
        <w:rPr>
          <w:rFonts w:hint="eastAsia"/>
          <w:sz w:val="30"/>
          <w:szCs w:val="30"/>
          <w:lang w:val="zh-CN"/>
        </w:rPr>
        <w:t>发展改革委</w:t>
      </w:r>
      <w:r w:rsidRPr="003C0457">
        <w:rPr>
          <w:rFonts w:hint="eastAsia"/>
          <w:sz w:val="30"/>
          <w:szCs w:val="30"/>
          <w:lang w:val="zh-CN"/>
        </w:rPr>
        <w:t xml:space="preserve"> </w:t>
      </w:r>
      <w:r w:rsidRPr="003C0457">
        <w:rPr>
          <w:rFonts w:hint="eastAsia"/>
          <w:sz w:val="30"/>
          <w:szCs w:val="30"/>
          <w:lang w:val="zh-CN"/>
        </w:rPr>
        <w:t>人民银行</w:t>
      </w:r>
      <w:r w:rsidRPr="003C0457">
        <w:rPr>
          <w:rFonts w:hint="eastAsia"/>
          <w:sz w:val="30"/>
          <w:szCs w:val="30"/>
          <w:lang w:val="zh-CN"/>
        </w:rPr>
        <w:t xml:space="preserve"> </w:t>
      </w:r>
      <w:r w:rsidRPr="003C0457">
        <w:rPr>
          <w:rFonts w:hint="eastAsia"/>
          <w:sz w:val="30"/>
          <w:szCs w:val="30"/>
          <w:lang w:val="zh-CN"/>
        </w:rPr>
        <w:t>银监会关于制止地方政府违法违规融资行为的通知（财预〔</w:t>
      </w:r>
      <w:r w:rsidRPr="003C0457">
        <w:rPr>
          <w:rFonts w:hint="eastAsia"/>
          <w:sz w:val="30"/>
          <w:szCs w:val="30"/>
          <w:lang w:val="zh-CN"/>
        </w:rPr>
        <w:t>2012</w:t>
      </w:r>
      <w:r w:rsidRPr="003C0457">
        <w:rPr>
          <w:rFonts w:hint="eastAsia"/>
          <w:sz w:val="30"/>
          <w:szCs w:val="30"/>
          <w:lang w:val="zh-CN"/>
        </w:rPr>
        <w:t>〕</w:t>
      </w:r>
      <w:r w:rsidRPr="003C0457">
        <w:rPr>
          <w:rFonts w:hint="eastAsia"/>
          <w:sz w:val="30"/>
          <w:szCs w:val="30"/>
          <w:lang w:val="zh-CN"/>
        </w:rPr>
        <w:t>463</w:t>
      </w:r>
      <w:r w:rsidRPr="003C0457">
        <w:rPr>
          <w:rFonts w:hint="eastAsia"/>
          <w:sz w:val="30"/>
          <w:szCs w:val="30"/>
          <w:lang w:val="zh-CN"/>
        </w:rPr>
        <w:t>号）</w:t>
      </w:r>
      <w:bookmarkEnd w:id="35"/>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各省、自治区、直辖市、计划单列市财政厅（局）、发展改革委，中国人民银行上海总部、各分行、营业管理部、省会（首府）城市中心支行、副省级城市中心支行，各银监局：</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国务院关于加强地方政府融资平台公司管理有关问题的通知》（国发〔2010〕19号）下发后，地方各级政府加强融资平台公司管理，取得了阶段性成效。地方政府性债务规模迅速膨胀的势头得到有效遏制，大部分融资平台公司正在按照市场化原则规范运行，银行业金融机构对融资平台公司的信贷管理更加规范。但是，最近有些地方政府违法违规融资有抬头之势，如违规采用集资、回购（BT）等方式举债建设公益性项目，违规向融资平台公司注资或提供担保，通过财务公司、信托公司、金融租赁公司等违规举借政府性债务等。为有效防范财政金融风险，保持经济持续健康发展和社会稳定，现就有关问题通知如下：</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一、严禁直接或间接吸收公众资金违规集资</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地方各级政府及所属机关事业单位、社会团体等要严格执行《国务院办公厅关于依法惩处非法集资有关问题的通知》（国办发明电〔2007〕34号）等有关规定，未经有关监管部门依法批准不得直接或间接吸收公众资金进行公益性项目建设，不得对机关事业单位职工及其他个人</w:t>
      </w:r>
      <w:r w:rsidRPr="003C0457">
        <w:rPr>
          <w:rFonts w:ascii="微软雅黑" w:eastAsia="微软雅黑" w:hAnsi="微软雅黑" w:cs="宋体"/>
          <w:color w:val="333333"/>
          <w:kern w:val="0"/>
          <w:sz w:val="27"/>
          <w:szCs w:val="27"/>
        </w:rPr>
        <w:lastRenderedPageBreak/>
        <w:t>进行摊派集资或组织购买理财、信托产品，不得公开宣传、引导社会公众参与融资平台公司项目融资。</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二、切实规范地方政府以回购方式举借政府性债务行为</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除法律和国务院另有规定外，地方各级政府及所属机关事业单位、社会团体等不得以委托单位建设并承担逐年回购（BT）责任等方式举借政府性债务。对符合法律或国务院规定可以举借政府性债务的公共租赁住房、公路等项目，确需采取代建制建设并由财政性资金逐年回购（BT）的，必须根据项目建设规划、偿债能力等，合理确定建设规模，落实分年资金偿还计划。</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三、加强对融资平台公司注资行为管理</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地方政府对融资平台公司注资必须合法合规，不得将政府办公楼、学校、医院、公园等公益性资产作为资本注入融资平台公司。严格执行《土地管理法》等有关规定，地方政府将土地注入融资平台公司必须经过法定的出让或划拨程序。以出让方式注入土地的，融资平台公司必须及时足额缴纳土地出让收入并取得国有土地使用证；以划拨方式注入土地的，必须经过有关部门依法批准并严格用于指定用途。融资平台公司经依法批准利用原有划拨土地进行经营性开发建设或转让原划拨土地使用权的，应当按照规定补缴土地价款。地方各级政府不得将储备土地作为资产注入融资平台公司，不得承诺将储备土地预期出让收入作为融资平台公司偿债资金来源。</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四、进一步规范融资平台公司融资行为</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地方各级政府必须严格按照有关规定规范土地储备机构管理和土地融资行为，不得授权融资平台公司承担土地储备职能和进行土地储备融资，不得将土地储备贷款用于城市建设以及其他与土地储备业务无关的项目。符合条件的融资平台公司因承担公共租赁住房、公路等公益性项目建设举借需要财政性资金偿还的债务，除法律和国务院另有规定外，不得向非金融机构和个人借款，不得通过金融机构中的财务公司、信托公司、基金公司、金融租赁公司、保险公司等直接或间接融资。</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五、坚决制止地方政府违规担保承诺行为</w:t>
      </w:r>
    </w:p>
    <w:p w:rsidR="003C0457" w:rsidRPr="003C0457" w:rsidRDefault="003C0457" w:rsidP="003C0457">
      <w:pPr>
        <w:widowControl/>
        <w:wordWrap w:val="0"/>
        <w:spacing w:before="100" w:beforeAutospacing="1" w:after="100" w:afterAutospacing="1"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地方各级政府及所属机关事业单位、社会团体，要继续严格按照《担保法》等有关法律法规规定，不得出具担保函、承诺函、安慰函等直接或变相担保协议，不得以机关事业单位及社会团体的国有资产为其他单位或企业融资进行抵押或质押，不得为其他单位或企业融资承诺承担偿债责任，不得为其他单位或企业的回购（BT）协议提供担保，不得从事其他违法违规担保承诺行为。</w:t>
      </w:r>
    </w:p>
    <w:p w:rsidR="003C0457" w:rsidRPr="003C0457" w:rsidRDefault="003C0457" w:rsidP="003C0457">
      <w:pPr>
        <w:widowControl/>
        <w:wordWrap w:val="0"/>
        <w:spacing w:line="432" w:lineRule="auto"/>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地方各级政府要从大局出发，充分认识制止违法违规融资行为的重要性和紧迫性，统一思想，加强领导，切实担负起加强地方政府性债务管理、防范财政金融风险的责任，规范政府及所属机关事业单位、社会团体、融资平台公司行为。要对地方各级政府及所属机关事业单位、社</w:t>
      </w:r>
      <w:r w:rsidRPr="003C0457">
        <w:rPr>
          <w:rFonts w:ascii="微软雅黑" w:eastAsia="微软雅黑" w:hAnsi="微软雅黑" w:cs="宋体"/>
          <w:color w:val="333333"/>
          <w:kern w:val="0"/>
          <w:sz w:val="27"/>
          <w:szCs w:val="27"/>
        </w:rPr>
        <w:lastRenderedPageBreak/>
        <w:t>会团体、融资平台公司违法违规融资或担保承诺行为进行清理整改。对限期不改的，依法依规追究相关责任人的责任。</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2"/>
        <w:jc w:val="center"/>
      </w:pPr>
      <w:bookmarkStart w:id="36" w:name="_Toc12864196"/>
      <w:r>
        <w:rPr>
          <w:rFonts w:hint="eastAsia"/>
        </w:rPr>
        <w:t>2</w:t>
      </w:r>
      <w:r>
        <w:rPr>
          <w:rFonts w:hint="eastAsia"/>
        </w:rPr>
        <w:t>、其他部委文件</w:t>
      </w:r>
      <w:bookmarkEnd w:id="36"/>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37" w:name="_Toc12864197"/>
      <w:r w:rsidRPr="003C0457">
        <w:rPr>
          <w:rFonts w:hint="eastAsia"/>
          <w:sz w:val="30"/>
          <w:szCs w:val="30"/>
          <w:lang w:val="zh-CN"/>
        </w:rPr>
        <w:lastRenderedPageBreak/>
        <w:t>关于进一步增强企业债券服务实体经济能力严格防范地方债务风险的通知（发改办财金〔</w:t>
      </w:r>
      <w:r w:rsidRPr="003C0457">
        <w:rPr>
          <w:rFonts w:hint="eastAsia"/>
          <w:sz w:val="30"/>
          <w:szCs w:val="30"/>
          <w:lang w:val="zh-CN"/>
        </w:rPr>
        <w:t>2018</w:t>
      </w:r>
      <w:r w:rsidRPr="003C0457">
        <w:rPr>
          <w:rFonts w:hint="eastAsia"/>
          <w:sz w:val="30"/>
          <w:szCs w:val="30"/>
          <w:lang w:val="zh-CN"/>
        </w:rPr>
        <w:t>〕</w:t>
      </w:r>
      <w:r w:rsidRPr="003C0457">
        <w:rPr>
          <w:rFonts w:hint="eastAsia"/>
          <w:sz w:val="30"/>
          <w:szCs w:val="30"/>
          <w:lang w:val="zh-CN"/>
        </w:rPr>
        <w:t>194</w:t>
      </w:r>
      <w:r w:rsidRPr="003C0457">
        <w:rPr>
          <w:rFonts w:hint="eastAsia"/>
          <w:sz w:val="30"/>
          <w:szCs w:val="30"/>
          <w:lang w:val="zh-CN"/>
        </w:rPr>
        <w:t>号）</w:t>
      </w:r>
      <w:bookmarkEnd w:id="37"/>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各省、自治区、直辖市及计划单列市、新疆生产建设兵团发展改革委、财政厅(局)：</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为深入贯彻落实党的十九大、中央经济工作会议和全国金融工作会议精神，进一步发挥企业债券直接融资功能，增强金融服务实体经济能力，坚决打好防范化解重大风险攻坚战，严格防范地方债务风险，坚决遏制地方政府隐性债务增量，现就企业债券工作有关事项通知如下。</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申报企业应当建立健全规范的公司治理结构、管理决策机制和财务管理制度，严禁党政机关公务人员未经批准在企业兼职(任职)。申报企业拥有的资产应当质量优良、权属清晰，严禁将公立学校、公立医院、公共文化设施、公园、公共广场、机关事业单位办公楼、市政道路、非收费桥梁、非经营性水利设施、非收费管网设施等公益性资产及储备土地使用权计入申报企业资产。</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申报企业应当真实、准确、完整地披露企业自身财务信息和项目信息等，支持投资者有效甄别风险，严禁涉及与地方政府信用挂钩的虚假陈述、误导性宣传。信用评级机构应当基于企业财务和项目信息等开展评级工作，不得将申报企业信用与地方政府信用挂钩。相关企业申报债券时应主动公开声明不承担政府融资职能，发行本期债券不涉及新增地方政府债务。</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三、申报企业应当实现业务市场化、实体化运营，依法合规开展市场化融资，并充分论证、科学决策利用债券资金支持投资项目建设的必要性、可行性和经济性。申报企业应当依托自身信用制定本息偿付计划和落实偿债保障措施，确保债券本息按期兑付，切实做到“谁借谁还、风险自担”。严禁申报企业以各种名义要求或接受地方政府及其所属部门为其市场化融资行为提供担保或承担偿债责任。</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四、纯公益性项目不得作为募投项目申报企业债券。利用债券资金支持的募投项目，应严格执行项目资本金制度，并建立市场化的投资回报机制，形成持续稳定、合理可行的预期收益。</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募投项目若有取得投资补助、运营补贴、财政贴息等财政资金支持的，程序和内容必须依法合规，必须把地方财政承受能力和中长期财政可持续作为重要约束条件，坚决杜绝脱离当地财力可能进行财政资金支持。相关财政资金应按照规定在年度预算中足额安排，涉及跨年度实施的项目应当列入中期财政规划并实行三年滚动管理，严格落实资金来源。</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六、规范以政府和社会资本合作(PPP)项目发行债券融资。严格PPP模式适用范围，审慎评估政府付费类PPP项目、可行性缺口补助PPP项目发债风险，严禁采用PPP模式违法违规或变相举债融资。</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七、建立健全责任主体信用记录，对经有关部门认定为因涉地方政府违法违规融资和担保活动的申报企业、承销机构、会计师事务所、律</w:t>
      </w:r>
      <w:r w:rsidRPr="003C0457">
        <w:rPr>
          <w:rFonts w:ascii="微软雅黑" w:eastAsia="微软雅黑" w:hAnsi="微软雅黑" w:cs="宋体"/>
          <w:color w:val="333333"/>
          <w:kern w:val="0"/>
          <w:sz w:val="27"/>
          <w:szCs w:val="27"/>
        </w:rPr>
        <w:lastRenderedPageBreak/>
        <w:t>师事务所、信用评级机构等主体及其主要负责人，加大惩处问责力度，纳入相关领域黑名单和全国信用信息共享平台归集共享，实施跨部门联合惩戒，及时公开通报，并限制相关责任主体新申报或推荐申报企业债券。</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八、各地财政部门应当按规定在年度预算中安排资金及时支付给依法合规承接政府投资项目的企业，防止地方政府恶意拖欠企业工程款。</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九、各地发展改革部门应积极组织区域内市场化运营的优质企业、优质项目开展债券融资，进一步增强企业债券服务实体经济能力。各地发展改革部门应切实加大事中事后监管力度，利用社会信用体系建设、大数据预警监测分析等多种创新方式，加强对债券资金使用情况和项目后续建设运营情况的督促检查，确保企业债券市场平稳有序健康发展。</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国家发展改革委办公厅、财政部办公厅</w:t>
      </w:r>
    </w:p>
    <w:p w:rsidR="003C0457" w:rsidRPr="003C0457" w:rsidRDefault="003C0457" w:rsidP="003C0457">
      <w:pPr>
        <w:widowControl/>
        <w:shd w:val="clear" w:color="auto" w:fill="FFFFFF"/>
        <w:spacing w:before="330" w:line="360" w:lineRule="atLeas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2018年2月8日</w:t>
      </w: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pStyle w:val="3"/>
        <w:jc w:val="center"/>
        <w:rPr>
          <w:sz w:val="30"/>
          <w:szCs w:val="30"/>
          <w:lang w:val="zh-CN"/>
        </w:rPr>
      </w:pPr>
      <w:bookmarkStart w:id="38" w:name="_Toc12864198"/>
      <w:r w:rsidRPr="003C0457">
        <w:rPr>
          <w:rFonts w:hint="eastAsia"/>
          <w:sz w:val="30"/>
          <w:szCs w:val="30"/>
          <w:lang w:val="zh-CN"/>
        </w:rPr>
        <w:lastRenderedPageBreak/>
        <w:t>关于加强中央企业</w:t>
      </w:r>
      <w:r w:rsidRPr="003C0457">
        <w:rPr>
          <w:rFonts w:hint="eastAsia"/>
          <w:sz w:val="30"/>
          <w:szCs w:val="30"/>
          <w:lang w:val="zh-CN"/>
        </w:rPr>
        <w:t>PPP</w:t>
      </w:r>
      <w:r w:rsidRPr="003C0457">
        <w:rPr>
          <w:rFonts w:hint="eastAsia"/>
          <w:sz w:val="30"/>
          <w:szCs w:val="30"/>
          <w:lang w:val="zh-CN"/>
        </w:rPr>
        <w:t>业务风险管控的通知（国资发财管〔</w:t>
      </w:r>
      <w:r w:rsidRPr="003C0457">
        <w:rPr>
          <w:rFonts w:hint="eastAsia"/>
          <w:sz w:val="30"/>
          <w:szCs w:val="30"/>
          <w:lang w:val="zh-CN"/>
        </w:rPr>
        <w:t>2017</w:t>
      </w:r>
      <w:r w:rsidRPr="003C0457">
        <w:rPr>
          <w:rFonts w:hint="eastAsia"/>
          <w:sz w:val="30"/>
          <w:szCs w:val="30"/>
          <w:lang w:val="zh-CN"/>
        </w:rPr>
        <w:t>〕</w:t>
      </w:r>
      <w:r w:rsidRPr="003C0457">
        <w:rPr>
          <w:rFonts w:hint="eastAsia"/>
          <w:sz w:val="30"/>
          <w:szCs w:val="30"/>
          <w:lang w:val="zh-CN"/>
        </w:rPr>
        <w:t>192</w:t>
      </w:r>
      <w:r w:rsidRPr="003C0457">
        <w:rPr>
          <w:rFonts w:hint="eastAsia"/>
          <w:sz w:val="30"/>
          <w:szCs w:val="30"/>
          <w:lang w:val="zh-CN"/>
        </w:rPr>
        <w:t>号）</w:t>
      </w:r>
      <w:bookmarkEnd w:id="38"/>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PPP(政府与社会资本合作)模式是我国基础设施和公共服务供给机制的重大创新，对于推进供给侧结构性改革、创新投融资机制、提升公共服务的供给质量和效率具有重要意义。</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近年来，中央企业主动适应改革要求，努力拓展市场，积极探索开展PPP业务，在推动自身业务快速发展的同时，有力支持了地方经济发展，取得了良好成效。</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为贯彻新发展理念，提高中央企业境内PPP业务经营管理水平，有效防范经营风险，实现规范有序可持续发展，现将有关工作要求通知如下：</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一、坚持战略引领，强化集团管控。</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各中央企业要紧密围绕企业发展战略和规划，建立健全本企业PPP业务管控体系，稳妥开展PPP业务。</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是加强战略引领。立足企业功能界定与分类定位，结合企业战略和发展方向，充分考虑企业财务资源和业务能力，规划本企业PPP业务发展。PPP业务较为集中的企业应编制PPP业务专项规划，优化PPP业务布局和结构。</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二是完善全过程管控体系。建立健全PPP项目管理制度，从预算约束、事前可研决策、事中项目实施管理、事后投资评价等方面细化管控流程，构建权责明晰的管理机制，加强企业投资、财务、法务、审计等部门的协同配合，形成管控合力。</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三是加强集团管控。明确集团对PPP业务管控的主体责任和各级子企业的具体管理责任，由集团总部(含整体上市的上市公司总部)负责统一审批PPP业务。</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四是依法依规操作。加强投标管理及合同谈判，严格执行合规审查程序，切实防范PPP业务中的违法违规风险，妥善处理并及时报备重大法律纠纷案件。</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二、严格准入条件，提高项目质量。</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各中央企业要将源头管控作为加强PPP业务管理的重中之重，细化PPP项目选择标准，优中选优，规范有序参与市场竞争，有效应对项目占用资金规模大、回报同期长带来的潜在风险。</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一是聚焦主业。根据项目投资、建设、运营等环节特征准确界定集团主业投资领域，认真筛选符合集团发展方向、具备竞争优势的项目。将PPP项目纳入企业年度投资计划管理，严控非主业领域PPP项目投资。</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二是坚持“事前算赢”原则，在项目决策前充分开展可行性分析，参考本企业平均投资回报水平合理设定PPP投资财务管控指标，投资回报</w:t>
      </w:r>
      <w:r w:rsidRPr="003C0457">
        <w:rPr>
          <w:rFonts w:ascii="微软雅黑" w:eastAsia="微软雅黑" w:hAnsi="微软雅黑" w:cs="宋体" w:hint="eastAsia"/>
          <w:color w:val="333333"/>
          <w:kern w:val="0"/>
          <w:sz w:val="27"/>
          <w:szCs w:val="27"/>
        </w:rPr>
        <w:lastRenderedPageBreak/>
        <w:t>率原则上不应低于本企业相同或相近期限债务融资成本，严禁开展不具备经济性的项目，严厉杜绝盲目决策，坚决遏制短期行为。</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三是认真评估PPP项目中合作各方的履约能力。在通过财政承受能力论证的项目中，优先选择发展改革、财政等部门入库项目，不得参与付费来源缺乏保障的项目。</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三、严格规模控制，防止推高债务风险。</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要高度关注PPP业务对企业财务结构平衡的影响，综合分析本企业长期盈利能力、偿债能力、现金流量和资产负债状况等，量力而行，对PPP业务实行总量管控，从严设定PPP业务规模上限，防止过度推高杠杆水平。</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是纳入中央企业债务风险管控范围的企业集团，累计对PPP项目的净投资(直接或间接投入的股权和债权资金、由企业提供担保或增信的其他资金之和，减去企业通过分红、转让等收回的资金)原则上不得超过上一年度集团合并净资产的50%，不得因开展PPP业务推高资产负债率。</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二是集团要做好内部风险隔离，明确相关子企业PPP业务规模上限;资产负债率高于85%或近2年连续亏损的子企业不得单独投资PPP项目。</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三是集团应加强对非投资金融类子企业的管控，严格执行国家有关监管政策，不得参与仅为项目提供融资、不参与建设或运营的项目。</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四、优化合作安排，实现风险共担。</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各中央企业在PPP项目中应充分发挥项目各合作方在融资、建设、运营等方面的比较优势，合理确定股权比例、融资比例，努力降低综合融资成本，切实做好项目运营合作安排，实现合作共赢。</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是落实股权投资资金来源。各企业要严格遵守国家重大项目资本金制度，合理控制杠杆比例，做好拟开展PPP项目的自有资金安排，根据项目需要积极引入优势互补、协同度高的其他非金融投资方，吸引各类股权类受托管理资金、保险资金、基本养老保险基金等参与投资，多措并举加大项目资本金投入，但不得通过引入“名股实债”类股权资金或购买劣后级份额等方式承担本应由其他方承担的风险。</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二是优化债权资金安排。积极与各类金融机构建立PPP业务合作关系，争取长期低成本资金支持，匹配好债务融资与项目生命周期。</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是规范融资增信。在PPP项目股权合作中，不得为其他方股权出资提供担保、承诺收益等;项目债务融资需要增信的，原则上应由项目自身权益、资产或股权投资担保，确需股东担保的应由各方股东按照出资比例共同担保。</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是做好运营安排，探索多元化的项目回报机制。结合企业发展需要，不断提高PPP项目专业化运营管理能力，对于尚不具备专业化运营管理能力的项目，通过合资合作、引入专业化管理机构等措施，确保项目安全高效运营。</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五是积极盘活存量投资，完善退出机制。根据自身和项目需要，持续优化资金安排，积极通过出让项目股份、增资扩股、上市融资、资产证券化等多渠道盘活资产、收回资金，实现PPP业务资金平衡和良性循环。</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五、规范会计核算，准确反映PPP业务状况。</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各中央企业应当根据《企业会计准则》相关规定规范PPP业务会计核算。</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是规范界定合并范围。根据股权出资比例、合作方投资性质、与合作方关联关系(如合营、担保、提供劣后级出资等)，对项目融资、建设和运营的参与程度，风险回报分担机制，合作协议或章程约定等，按照“实质重于形式”原则综合判断对PPP项目的控制程度，规范界定合并范围;对确属无控制权的PPP项目，应当建立单独台账，动态监控项目的经营和风险状况，严防表外业务风险。</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是足额计提资产减值准备。定期对PPP项目长期股权投资、取得的收费权、股东借款等资产进行减值测试，重点关注实际运营情况与项目可研预期差距较大、合作方付款逾期等减值迹象，及时足额计提减值准备，防范资产价值不实。</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三是规范核算项目收益。同时参与PPP项目投资、建设或运营的企业，应当合理划分和规范核算各阶段收益。</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六、严肃责任追究，防范违规经营投资行为。</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各中央企业要切实承担起对PPP业务管控的主体责任，加强对全集团PPP业务的审计与监督检查，不断提高PPP业务投资经营管理水平。要对PPP业务经营投资责任实施规范化、科学化、全周期管理，完善决策事项履职记录。</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对违反本通知要求，未履行或未正确履行投资管埋职责造成国有资产损失以及其他严重不良后果的各级经营管理人员，要严肃追究责任，同时对PPP业务重大决策实施终身责任追究制度。</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各中央企业要对照本通知要求，全面梳理已签约PPP项目，根据发现的风险和问题，及时完善制度，加强管控，提出应对措施。</w:t>
      </w:r>
    </w:p>
    <w:p w:rsidR="003C0457" w:rsidRPr="003C0457" w:rsidRDefault="003C0457" w:rsidP="003C0457">
      <w:pPr>
        <w:widowControl/>
        <w:shd w:val="clear" w:color="auto" w:fill="FFFFFF"/>
        <w:spacing w:after="300" w:line="384" w:lineRule="atLeast"/>
        <w:jc w:val="lef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对存在瑕疵的项目，要积极与合作方协商完善;对不具备经济性或存在其他重大问题的项目，要逐一制定处置方案，风险化解前，该停坚决停止，未开工项目不得开工。</w:t>
      </w:r>
    </w:p>
    <w:p w:rsidR="003C0457" w:rsidRPr="003C0457" w:rsidRDefault="003C0457" w:rsidP="003C0457">
      <w:pPr>
        <w:widowControl/>
        <w:shd w:val="clear" w:color="auto" w:fill="FFFFFF"/>
        <w:spacing w:after="300" w:line="384" w:lineRule="atLeast"/>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国务院国有资产监督管理委员会</w:t>
      </w:r>
    </w:p>
    <w:p w:rsidR="003C0457" w:rsidRPr="003C0457" w:rsidRDefault="003C0457" w:rsidP="003C0457">
      <w:pPr>
        <w:widowControl/>
        <w:shd w:val="clear" w:color="auto" w:fill="FFFFFF"/>
        <w:spacing w:after="300" w:line="384" w:lineRule="atLeast"/>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2017年11月17日</w:t>
      </w: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pStyle w:val="3"/>
        <w:jc w:val="center"/>
        <w:rPr>
          <w:sz w:val="30"/>
          <w:szCs w:val="30"/>
          <w:lang w:val="zh-CN"/>
        </w:rPr>
      </w:pPr>
      <w:bookmarkStart w:id="39" w:name="_Toc12864199"/>
      <w:r w:rsidRPr="003C0457">
        <w:rPr>
          <w:rFonts w:hint="eastAsia"/>
          <w:sz w:val="30"/>
          <w:szCs w:val="30"/>
          <w:lang w:val="zh-CN"/>
        </w:rPr>
        <w:lastRenderedPageBreak/>
        <w:t>关于规范金融机构资产管理业务的指导意见（征求意见稿）</w:t>
      </w:r>
      <w:bookmarkEnd w:id="39"/>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近年来，我国资产管理业务快速发展，在满足居民和企业的投融资需求、改善社会融资结构等方面发挥了积极作用，但也存在部分业务发展不规范、多层嵌套、刚性兑付、规避金融监管和宏观调控等问题。按照党中央、国务院决策部署，为规范金融机构资产管理业务，统一同类资产管理产品监管标准，有效防范和控制金融风险，引导社会资金流向实体经济，更好地支持经济结构调整和转型升级，现提出以下意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一、【基本原则】规范金融机构资产管理业务主要遵循以下原则：</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（一）坚持严控风险的底线思维，把防范和化解资产管理业务的风险放到更加重要的位置，减少存量风险，严防增量风险。</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坚持服务实体经济的根本目标，既充分发挥资产管理业务的功能，切实服务实体经济的投融资需求，又严格规范引导，避免资金脱实向虚在金融体系内部自我循环，防止产品过于复杂，加剧风险的跨行业、跨市场、跨区域传递。</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（三）坚持宏观审慎管理与微观审慎监管相结合、机构监管与功能监管相结合的监管理念，实现对各类机构开展资产管理业务的全面、统一覆盖，采取有效监管措施，加强金融消费者保护。</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（四）坚持有的放矢的问题导向，重点针对资产管理业务的多层嵌套、杠杆不清、套利严重、投机频繁等问题，设定统一的标准规制，同时对金融创新坚持趋利避害、一分为二，留出发展空间。</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（五）坚持积极稳妥审慎推进，正确处理改革、发展、稳定关系，坚持防范风险与有序规范相结合，在下决心处置风险的同时，充分考虑</w:t>
      </w:r>
      <w:r w:rsidRPr="003C0457">
        <w:rPr>
          <w:rFonts w:ascii="微软雅黑" w:eastAsia="微软雅黑" w:hAnsi="微软雅黑" w:cs="宋体"/>
          <w:color w:val="333333"/>
          <w:kern w:val="0"/>
          <w:sz w:val="27"/>
          <w:szCs w:val="27"/>
        </w:rPr>
        <w:lastRenderedPageBreak/>
        <w:t>市场承受能力，合理设置过渡期，把握好工作的次序、节奏、力度，加强市场沟通，有效引导市场预期。</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资产管理业务定义】资产管理业务是指银行、信托、证券、基金、期货、保险资产管理机构等金融机构接受投资者委托，对受托的投资者财产进行投资和管理的金融服务。金融机构为委托人利益履行勤勉尽责义务并收取相应的管理费用，委托人自担投资风险并获得收益。</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资产管理业务是金融机构的表外业务，金融机构开展资产管理业务时不得承诺保本保收益。出现兑付困难时，金融机构不得以任何形式垫资兑付。金融机构不得开展表内资产管理业务。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资产管理产品】资产管理产品包括但不限于银行非保本理财产品，资金信托计划，证券公司、证券公司子公司、基金管理公司、基金管理子公司、期货公司、期货公司子公司和保险资产管理机构发行的资产管理产品等。依据金融监督管理部门颁布规则开展的资产证券化业务，不适用本意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产品分类】资产管理产品按照募集方式的不同，分为公募产品和私募产品。公募产品面向不特定社会公众公开发行。公开发行的认定标准依照《中华人民共和国证券法》执行。私募产品面向合格投资者通过非公开方式发行。</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资产管理产品按照投资性质的不同，分为固定收益类产品、权益类产品、商品及金融衍生品类产品和混合类产品。固定收益类产品投资于债权类资产的比例不低于80%，权益类产品投资于股票、未上市股权等权益类资产的比例不低于80%，商品及金融衍生品类产品投资于商</w:t>
      </w:r>
      <w:r w:rsidRPr="003C0457">
        <w:rPr>
          <w:rFonts w:ascii="微软雅黑" w:eastAsia="微软雅黑" w:hAnsi="微软雅黑" w:cs="宋体"/>
          <w:color w:val="333333"/>
          <w:kern w:val="0"/>
          <w:sz w:val="27"/>
          <w:szCs w:val="27"/>
        </w:rPr>
        <w:lastRenderedPageBreak/>
        <w:t>品及金融衍生品的比例不低于80%，混合类产品投资于债权类资产、权益类资产、商品及金融衍生品类资产且任一资产的投资比例未达到前三类产品标准。</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明示产品类型】金融机构在发行资产管理产品时，应当按照上述分类标准向投资者明示资产管理产品的类型，并按照确定的产品性质进行投资。在产品成立后至到期日前，不得擅自改变产品类型。混合类产品投资债权类资产、权益类资产和商品及金融衍生品类资产的比例应当在发行产品时予以确定并向投资者明示，在产品成立后至到期日前不得擅自改变。产品的实际投向不得违反合同约定，如需调整投资策略，与确定的投资性质产生偏离，应当先行取得投资者同意，并履行登记备案等法律法规以及金融监督管理部门规定的程序。</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投资者】资产管理产品的投资者分为不特定社会公众和合格投资者两大类。合格投资者是指具备相应风险识别能力和风险承担能力，投资于单只资产管理产品不低于一定金额且符合下列条件的自然人和法人。</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（一）家庭金融资产不低于500万元，或者近3年本人年均收入不低于40万元，且具有2年以上投资经历。</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（二）最近1年末净资产不低于1000万元的法人单位。</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（三）金融监督管理部门视为合格投资者的其他情形。</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合格投资者投资于单只固定收益类产品的金额不低于30万元，投资于单只混合类产品的金额不低于40万元，投资于单只权益类产品、</w:t>
      </w:r>
      <w:r w:rsidRPr="003C0457">
        <w:rPr>
          <w:rFonts w:ascii="微软雅黑" w:eastAsia="微软雅黑" w:hAnsi="微软雅黑" w:cs="宋体"/>
          <w:color w:val="333333"/>
          <w:kern w:val="0"/>
          <w:sz w:val="27"/>
          <w:szCs w:val="27"/>
        </w:rPr>
        <w:lastRenderedPageBreak/>
        <w:t>单只商品及金融衍生品类产品的金额不低于100万元。合格投资者同时投资多只不同产品的，投资金额按照其中最高标准执行。</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六、【投资者适当性管理要求】金融机构发行和销售资产管理产品，应当坚持“了解产品”和“了解客户”的经营理念，加强投资者适当性管理，向投资者销售与其风险识别能力和风险承担能力相适应的资产管理产品。禁止欺诈或者误导投资者购买与其风险承担能力不匹配的资产管理产品。金融机构不得通过对资产管理产品进行拆分等方式，向风险识别能力和风险承担能力低于产品风险等级的投资者销售资产管理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金融机构应当加强投资者教育，不断提高投资者的金融知识水平和风险意识，向投资者传递“卖者尽责、买者自负”的理念，打破刚性兑付。</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七、【金融机构及资管从业人员资质要求】金融机构开展资产管理业务，应当具备与资产管理业务发展相适应的管理体系和管理制度，公司治理良好，风险管理、内部控制和问责机制健全。</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建立健全资产管理业务人员的资格认定、培训、考核评价和问责制度，确保从事资产管理业务的人员具备必要的专业知识、行业经验和管理能力，充分了解相关法律法规、监管规定以及资产管理产品的法律关系、交易结构、主要风险和风险管控方式，遵守行为准则和职业道德标准。</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对于违反相关法律法规以及本意见规定的金融机构资产管理业务从业人员，依法采取处罚措施直至取消从业资格，禁止其在其他类型金融机构从事资产管理业务。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八、【金融机构受托管理职责和投资者保护】金融机构运用受托资金进行投资，应当遵守审慎经营规则，制定科学合理的投资策略和风险管理制度，有效防范和控制风险。</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金融机构应当履行以下管理人职责：</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（一）依法募集资金，办理产品份额的发售和登记事宜。</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（二）办理产品登记备案手续。</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（三）对所管理的不同产品受托财产分别管理、分别记账，进行投资。</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（四）按照产品合同的约定确定收益分配方案，及时向投资者分配收益。</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（五）进行产品会计核算并编制产品财务会计报告。</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（六）依法计算并披露产品净值，确定申购、赎回价格。</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（七）办理与受托财产管理业务活动有关的信息披露事项。</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（八）保存受托财产管理业务活动的记录、账册、报表和其他相关资料。</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（九）以管理人名义，代表投资者利益行使诉讼权利或者实施其他法律行为。</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（十）金融监督管理部门规定的其他职责。</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金融机构未按照勤勉尽责原则切实履行受托管理职责，造成投资者损失的，应当依法向投资者承担赔偿责任。</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九、【产品代销】金融机构代理销售其他金融机构发行的资产管理产品，应当符合金融监督管理部门规定的资质条件。未经金融管理部门许可，任何非金融机构和个人不得代理销售资产管理产品。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金融机构应当建立资产管理产品的销售授权管理体系，明确代理销售机构的准入标准和程序，明确界定双方的权利与义务，明确相关风险的承担责任和转移方式。</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代理销售资产管理产品，应当建立相应的内部审批和风险控制程序，对发售机构的信用状况、经营管理能力、市场投资能力、风险处置能力等开展尽职调查，要求发售机构提供详细的产品介绍、相关市场分析和风险收益测算报告，进行充分的信息验证和风险审查，确保代理销售的产品符合本意见规定并承担相应责任。</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十、【公募和私募产品的投资要求】</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公募产品】公募产品主要投资风险低、流动性强的债权类资产以及上市交易的股票，除法律法规另有规定外，不得投资未上市股权。公募产品可以投资商品及金融衍生品，但应当符合法律法规以及金融监督管理部门的相关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现阶段，银行的公募产品以固定收益类产品为主。如发行权益类产品和其他产品，须经银行业监管部门批准，但用于支持市场化、法治化债转股的产品除外。</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【私募产品】私募产品的投资范围由合同约定，可以投资债权类资产、上市交易（挂牌）的股票、未上市企业股权（含债转股）和受（收）益权，并严格遵守投资者适当性管理要求。</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十一、【投资限制及鼓励】资产管理产品进行投资应当符合以下规定：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非标准化债权类资产】标准化债权类资产是指在银行间市场、证券交易所市场等国务院和金融监督管理部门批准的交易市场交易的具有合理公允价值和较高流动性的债权性资产，具体认定规则由人民银行会同金融监督管理部门另行制定。其他债权类资产均为非标准化债权类资产。</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发行资产管理产品投资于非标准化债权类资产的，应当遵守金融监督管理部门制定的有关限额管理、风险准备金要求、流动性管理等监管标准。行业金融监督管理部门未制定相关监管标准的，由人民银行督促根据本意见要求制定与其他行业一致的监管标准并予以执行。</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金融机构不得将资产管理产品资金直接或者间接投资于商业银行信贷资产。商业银行信贷资产受（收）益权的投资限制由人民银行、金融监督管理部门另行制定。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（二）【禁止投资的行业】资产管理产品不得直接或者间接投资法律法规和国家政策禁止进行债权和股权投资的行业和领域。</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（三）【鼓励投资】鼓励金融机构通过发行资产管理产品募集资金支持国家重点领域和重大工程建设、科技创新和战略性新兴产业、“一</w:t>
      </w:r>
      <w:r w:rsidRPr="003C0457">
        <w:rPr>
          <w:rFonts w:ascii="微软雅黑" w:eastAsia="微软雅黑" w:hAnsi="微软雅黑" w:cs="宋体"/>
          <w:color w:val="333333"/>
          <w:kern w:val="0"/>
          <w:sz w:val="27"/>
          <w:szCs w:val="27"/>
        </w:rPr>
        <w:lastRenderedPageBreak/>
        <w:t>带一路”建设、京津冀协同发展等领域。鼓励金融机构通过发行资产管理产品募集资金支持经济结构转型和降低企业杠杆率。</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（四）【外币产品】跨境资产管理产品及业务、境内外币资产管理产品及业务应当符合外汇管理有关规定。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二、【信息披露和透明度】金融机构应当向投资者主动、真实、准确、完整、及时披露资产管理产品募集信息、资金投向、杠杆水平、收益分配、托管安排、投资者账户信息和主要投资风险。国家法律法规另有规定的，从其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公募产品信息披露】金融机构应当建立严格的公募产品信息披露管理制度，明确定期报告、临时报告、重大事项公告、投资风险披露要求以及具体内容、格式。在本机构官方网站或者通过投资者便于获取的方式，按照规定或者开放频率披露开放式产品净值，每周披露封闭式产品净值，定期披露其他重要信息。</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【私募产品信息披露】私募产品的信息披露方式、内容、频率由产品合同约定，但金融机构应当至少每季度向投资者披露产品净值和其他重要信息。</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固定收益类产品信息披露】除资产管理产品通行的信息披露要求外，金融机构还应当在显要位置向投资者充分披露和提示固定收益类产品的投资风险，包括但不限于产品投资债券面临的利率、汇率变化等市场风险以及债券价格波动情况，产品投资每笔非标准化债权类资产的融资客户、项目名称、剩余融资期限、到期收益分配、交易结构、风险状况等。</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【权益类产品信息披露】除资产管理产品通行的信息披露要求外，金融机构还应当在显要位置向投资者充分披露和提示权益类产品的投资风险，包括但不限于产品投资股票面临的风险以及股票价格波动情况等。</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商品及金融衍生品类产品信息披露】除资产管理产品通行的信息披露要求外，金融机构还应当在显要位置向投资者充分披露商品及金融衍生品类产品的挂钩资产、持仓风险、控制措施以及衍生品公允价值变化等。</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混合类产品信息披露】除资产管理产品通行的信息披露要求外，金融机构还应当向投资者清晰披露混合类产品的投资资产组合情况，并根据固定收益类、权益类、商品及金融衍生品类资产投资比例充分披露和提示相应的投资风险。</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十三、【公司治理与风险隔离】主营业务不包括资产管理业务的金融机构应当设立具有独立法人地位的资产管理子公司开展资产管理业务，暂不具备条件的可以设立专门的资产管理业务经营部门开展业务。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金融机构不得为资产管理产品投资的非标准化债权类资产或者股权类资产提供任何直接或间接、显性或隐性的担保或者回购承诺。</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开展资产管理业务，应当确保资产管理业务与其他业务相分离，代客业务与自营业务相分离，资产管理产品与其代销的金融产品相分离，资产管理产品之间相分离，资产管理业务操作与其他业务操作相分离。</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十四、【第三方独立托管】本意见发布后，金融机构发行的资产管理产品资产应当由具有托管资质的第三方机构独立托管，法律、行政法规另有规定的除外。</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过渡期内，具有证券投资基金托管业务资质的商业银行可以托管本行理财产品，但应当为每只产品单独开立托管账户，确保资产隔离。过渡期后，具有证券投资基金托管业务资质的商业银行应当设立具有独立法人地位的子公司开展资产管理业务，该商业银行可以托管子公司发行的资产管理产品，但应当实现实质性的独立托管。独立托管有名无实的，由金融监督管理部门进行纠正和处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十五、【规范资金池】金融机构应当做到每只资产管理产品的资金单独管理、单独建账、单独核算，不得开展或者参与具有滚动发行、集合运作、分离定价特征的资金池业务。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金融机构应当合理确定资产管理产品所投资资产的期限，加强对期限错配的流动性风险管理，金融监督管理部门应当制定流动性风险管理规定。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为降低期限错配风险，金融机构应当强化资产管理产品久期管理，封闭式资产管理产品最短期限不得低于90天。金融机构应当根据资产管理产品的期限设定不同的管理费率，产品期限越长，年化管理费率越低。</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资产管理产品直接或者间接投资于非标准化债权类资产的，非标准化债权类资产的终止日不得晚于封闭式资产管理产品的到期日或者开放式资产管理产品的最近一次开放日。</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资产管理产品直接或者间接投资于未上市企业股权及其受（收）益权的，应当为封闭式资产管理产品，并明确股权及其受（收）益权的退出安排。未上市企业股权及其受（收）益权的退出日不得晚于封闭式资产管理产品的到期日。</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不得违反相关金融监督管理部门的规定，通过为单一项目融资设立多只资产管理产品的方式，变相突破投资人数限制或者其他监管要求。同一金融机构发行多只资产管理产品投资同一资产的，为防止同一资产发生风险波及多只资产管理产品，多只资产管理产品投资该资产的资金总规模合计不得超过300亿元。如果超出该限额，需经相关金融监督管理部门批准。</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十六、【资产组合管理】金融机构应当确保每只资产管理产品所投资资产与投资者的风险承担能力相适应，做到每只产品所投资资产的构成清晰、风险可识别。</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控制资产管理产品所投资资产的集中度。单只公募资产管理产品投资单只证券或者单只证券投资基金的市值不得超过该资产管理产品净资产的10%，同一金融机构发行的全部公募资产管理产品投资单只证券或者单只证券投资基金的市值不得超过该证券市值或者证券投资基金市值的30%，全部开放式公募资产管理产品投资单一上市公司发行的股票不得超过该上市公司可流通股票的15%，全部资产管理产品投资单一上市公司发行的股票不得超过该上市公司可流通股票的30%。金融监督管理部门另有规定的除外。</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非因金融机构主观因素致使不符合前述比例限制的，金融机构应在流动性受限资产可出售、转让或者恢复交易的10个交易日内进行调整。</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七、【强化资本和准备金计提要求】金融机构应当按照资产管理产品管理费收入的10%计提风险准备金，或者按照规定计提操作风险资本或相应风险资本准备。风险准备金余额达到产品余额的1%时可以不再提取。风险准备金主要用于弥补因金融机构违法违规、违反资产管理产品协议、操作错误或者技术故障等给资产管理产品财产或者投资者造成的损失。</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十八、【打破刚性兑付监管要求】</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【净值管理】金融机构对资产管理产品应当实行净值化管理，净值生成应当符合公允价值原则，及时反映基础资产的收益和风险。按照公允价值原则确定净值的具体规则另行制定。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【刚兑认定】经人民银行或者金融监督管理部门认定，存在以下行为的视为刚性兑付：</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（一）资产管理产品的发行人或者管理人违反公允价值确定净值原则对产品进行保本保收益。</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（二）采取滚动发行等方式使得资产管理产品的本金、收益、风险在不同投资者之间发生转移，实现产品保本保收益。</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（三）资产管理产品不能如期兑付或者兑付困难时，发行或者管理该产品的金融机构自行筹集资金偿付或者委托其他金融机构代为偿付。</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（四）人民银行和金融监督管理部门共同认定的其他情形。</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【分类惩处】经认定存在刚性兑付行为的，区分以下两类机构加强惩处：</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（一）存款类金融机构发生刚性兑付的，认定为利用具有存款本质特征的资产管理产品进行监管套利，由银监会和人民银行按照存款业务予以规范，足额补缴存款准备金和存款保险基金，并予以适当处罚。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非存款类持牌金融机构发生刚性兑付的，认定为违规经营、超范围经营，由相关金融监督管理部门进行纠正，并实施罚款等行政处罚。未予纠正和罚款的由人民银行纠正并追缴罚款，具体标准由人民银行制定，最低标准为漏缴的存款准备金以及存款保险基金相应的2倍利益对价。</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【投诉举报】任何单位和个人发现金融机构存在刚性兑付行为的，可以向人民银行和金融监督管理部门消费者权益保护机构投诉举报，查证属实且举报内容未被相关部门掌握的，给予适当奖励。</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外部审计机构在对金融机构进行审计时，如果发现金融机构存在刚性兑付行为的，应当及时报告人民银行和金融监督管理部门。</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十九、【统一负债要求】资产管理产品应当设定负债比例（总资产/净资产）上限，同类产品适用统一的负债比例上限。每只开放式公募产品的总资产不得超过该产品净资产的140%，每只封闭式公募产品、每只私募产品的总资产不得超过该产品净资产的200%。计算单只产品的总资产时应当按照穿透原则合并计算所投资资产管理产品的总资产。</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资产管理产品的持有人不得以所持有的资产管理产品份额进行质押融资，放大杠杆。</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个人不得使用银行贷款等非自有资金投资资产管理产品，资产负债率达到或者超出警戒线的企业不得投资资产管理产品，警戒线的具体标准由人民银行会同相关部门另行规定。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二十、【分级产品设计】以下产品不得进行份额分级。</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（一）公募产品。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（二）开放式私募产品。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（三）投资于单一投资标的私募产品，投资比例超过50%即视为单一。</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（四）投资债券、股票等标准化资产比例超过50%的私募产品。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分级私募产品的总资产不得超过该产品净资产的140%。分级私募产品应当根据所投资资产的风险程度设定分级比例（优先级份额/劣后级份额，中间级份额计入优先级份额）。固定收益类产品的分级比例不得超过3：1，权益类产品的分级比例不得超过1：1，商品及金融衍生品类产品、混合类产品的分级比例不得超过2：1。发行分级资产管理产品的金融机构应当对该资产管理产品进行自主管理，不得转委托给劣后级投资者。</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分级资产管理产品不得直接或者间接对优先级份额认购者提供保本保收益安排。</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本条所称分级资产管理产品是指存在一级份额以上的份额为其他级份额提供一定的风险补偿，收益分配不按份额比例计算，由资产管理合同另行约定的产品。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二十一、【消除多层嵌套和通道】金融机构不得为其他金融机构的资产管理产品提供规避投资范围、杠杆约束等监管要求的通道服务。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资产管理产品可以投资一层资产管理产品，但所投资的资产管理产品不得再投资其他资产管理产品（公募证券投资基金除外）。</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将资产管理产品投资于其他机构发行的资产管理产品，从而将本机构的资产管理产品资金委托给其他机构进行投资的，该受托机构应当为具有专业投资能力和资质的受金融监督管理部门监管的金融机构，并切实履行主动管理职责，不得进行转委托，不得再投资其他资产管理产品（公募证券投资基金除外）。委托机构应当对受托机构开展尽职调查，实行名单制管理，明确规定受托机构的准入标准和程序、责任和义务、存续期管理、利益冲突防范机制、信息披露义务以及退出机制。委托机构不得因委托其他机构投资而免除自身应当承担的责任。</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金融机构可以聘请具有专业资质的受金融监督管理部门监管的机构作为投资顾问。投资顾问发出交易指令指导委托机构在特定系统和托管账户内操作。</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监督管理部门和国家有关部门应当对各类金融机构开展资产管理业务实行平等准入、给予公平待遇。金融监督管理部门基于风险防控考虑，确实需要对其他行业金融机构发行的资产管理产品采取限制措施的，应当充分征求相关部门意见并达成一致。</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二十二、【智能投顾】金融机构运用人工智能技术、采用机器人投资顾问开展资产管理业务应当经金融监督管理部门许可，取得相应的投</w:t>
      </w:r>
      <w:r w:rsidRPr="003C0457">
        <w:rPr>
          <w:rFonts w:ascii="微软雅黑" w:eastAsia="微软雅黑" w:hAnsi="微软雅黑" w:cs="宋体"/>
          <w:color w:val="333333"/>
          <w:kern w:val="0"/>
          <w:sz w:val="27"/>
          <w:szCs w:val="27"/>
        </w:rPr>
        <w:lastRenderedPageBreak/>
        <w:t>资顾问资质，充分披露信息，报备智能投顾模型的主要参数以及资产配置的主要逻辑。</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运用智能投顾开展资产管理业务应当严格遵守本意见有关投资者适当性、投资范围、信息披露、风险隔离等一般性规定，并根据智能投顾的业务特点，建立合理的投资策略和算法模型，充分提示智能投顾算法的固有缺陷和使用风险，为投资者单设智能投顾账户，明晰交易流程，强化留痕管理，严格监控智能投顾的交易头寸、风险限额、交易种类、价格权限等。</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委托外部机构开发智能投顾算法，应当要求开发机构根据不同产品投资策略研发对应的智能投顾算法，避免算法同质化加剧投资行为的顺周期性。金融机构应当针对由此引发的市场波动风险制定应对预案。因算法同质化、编程设计错误、对数据利用深度不够等智能投顾算法模型缺陷或者系统异常，导致羊群效应、影响金融市场稳定运行的，金融机构应当采取人工干预措施，强制调整或者终止智能投顾业务。</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应当依法合规开展人工智能业务，不得借助智能投顾夸大宣传资产管理产品或者误导投资者，并切实履行对智能投顾资产管理业务的管理职责，因违法违规或者管理不当造成投资者损失的，应当承担相应的损害赔偿责任。开发机构应当诚实尽责、合理研发智能投顾算法，保证客户和投资者的数据安全，不得使用恶意代码损害投资者利益，如存在过错，金融机构有权向开发机构进行损失追偿或者要求承担相应的责任。</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十三、【关联交易】金融机构不得以资产管理产品的资金与关联方进行不正当交易、利益输送、内幕交易和操纵市场，包括但不限于投资于关联方虚假项目、与关联方共同收购上市公司、向本机构注资等。关联方按照财政部《企业会计准则》的规定确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的资产管理产品投资本机构、托管机构及其控股股东、实际控制人或者与其有其他重大利害关系的公司发行或者承销的证券，或者从事其他重大关联交易的，应当建立健全内部审批机制和评估机制，并向投资者充分披露信息。</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四、【统计制度】建立资产管理产品统一报告制度。人民银行负责统筹资产管理产品的数据编码和综合统计工作，会同金融监督管理部门拟定资产管理产品统计制度，建立资产管理产品信息系统，规范和统一产品标准、信息分类、代码、数据格式，逐只产品统计基本信息、募集信息、资产负债信息和终止信息。人民银行和金融监督管理部门加强资产管理产品的统计信息共享。</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金融机构于每只资产管理产品成立后5个工作日内，向人民银行和金融监督管理部门同时报送产品基本信息和起始募集信息；于每月10日前报送存续期募集信息、资产负债信息，于产品终止后5个工作日内报送终止信息。</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中央国债登记结算有限责任公司、中国证券登记结算有限公司、银行间市场清算所股份有限公司、上海票据交易所股份有限公司、上海黄金交易所、上海保险交易所股份有限公司、中保保险资产登记交易系统</w:t>
      </w:r>
      <w:r w:rsidRPr="003C0457">
        <w:rPr>
          <w:rFonts w:ascii="微软雅黑" w:eastAsia="微软雅黑" w:hAnsi="微软雅黑" w:cs="宋体"/>
          <w:color w:val="333333"/>
          <w:kern w:val="0"/>
          <w:sz w:val="27"/>
          <w:szCs w:val="27"/>
        </w:rPr>
        <w:lastRenderedPageBreak/>
        <w:t>有限公司于每月10日前向人民银行和金融监督管理部门同时报送资产管理产品持有其登记托管的金融工具的信息。</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在资产管理产品信息系统正式运行前，人民银行会同金融监督管理部门依据统计制度拟定统一的过渡期数据报送模板；各金融监督管理部门对本行业金融机构发行的资产管理产品，于每月10日前按照数据报送模板向人民银行提供数据，及时沟通跨行业、跨市场的重大风险信息和事项。</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人民银行对金融机构资产管理产品统计工作进行监督检查。资产管理产品统计的具体制度由人民银行会同相关部门另行制定。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五、【监管分工】人民银行负责对资产管理业务实施宏观审慎管理，会同金融监督管理部门制定资产管理业务的标准规制。金融监督管理部门实施资产管理业务的市场准入和日常监管，加强投资者保护，依照本意见会同人民银行制定出台各自监管领域的实施细则。</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本意见正式实施后，人民银行会同金融监督管理部门建立工作机制，持续监测资产管理业务的发展和风险状况，定期评估标准规制的有效性和市场影响，及时修订完善，推动资产管理行业持续健康发展。</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二十六、【监管原则】对资产管理业务实施监管遵循以下原则：</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（一）机构监管与功能监管相结合，按照产品类型而不是机构类型实施功能监管，同一类型的资产管理产品适用同一监管标准，减少监管真空和套利。</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lastRenderedPageBreak/>
        <w:t xml:space="preserve">　　（二）实行穿透式监管，对于已经发行的多层嵌套资产管理产品，向上识别产品的最终投资者，向下识别产品的底层资产（公募证券投资基金除外）。</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（三）强化宏观审慎管理，建立资产管理业务的宏观审慎政策框架，完善政策工具，从宏观、逆周期、跨市场的角度加强监测、评估和调节。</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（四）实现实时监管，对资产管理产品的发行销售、投资、兑付等各环节进行全面动态监管，建立综合统计制度。</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七、【违规行为处罚】金融监督管理部门应当根据本意见规定，对违规行为制定和完善处罚规则，依法实施处罚，并确保处罚标准一致。资产管理业务违反宏观审慎管理要求的，由人民银行按照法律法规实施处罚。</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八、【组织实施和过渡期安排】本意见正式实施后，金融监督管理部门在本意见框架内研究制定配套细则，配套细则之间应相互衔接，避免产生新的监管套利和不公平竞争。按照“新老划断”原则设置过渡期，确保平稳过渡。金融机构已经发行的资产管理产品自然存续至所投资资产到期。过渡期内，金融机构不得新增不符合本意见规定的资产管理产品的净认购规模。过渡期自本意见发布实施后至2019年6月30日。过渡期结束后，金融机构的资产管理产品按照本意见进行全面规范，金融机构不得再发行或者续期违反本意见规定的资产管理产品。</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二十九、【对非金融机构开展资产管理业务的要求】资产管理业务作为金融业务，属于特许经营行业，必须纳入金融监管。非金融机构不得发行、销售资产管理产品，国家另有规定的除外。非金融机构依照国</w:t>
      </w:r>
      <w:r w:rsidRPr="003C0457">
        <w:rPr>
          <w:rFonts w:ascii="微软雅黑" w:eastAsia="微软雅黑" w:hAnsi="微软雅黑" w:cs="宋体"/>
          <w:color w:val="333333"/>
          <w:kern w:val="0"/>
          <w:sz w:val="27"/>
          <w:szCs w:val="27"/>
        </w:rPr>
        <w:lastRenderedPageBreak/>
        <w:t>家规定发行、销售资产管理产品的，应当严格遵守相关规定以及本意见关于投资者适当性管理的要求。</w:t>
      </w:r>
    </w:p>
    <w:p w:rsidR="003C0457" w:rsidRPr="003C0457" w:rsidRDefault="003C0457" w:rsidP="003C0457">
      <w:pPr>
        <w:widowControl/>
        <w:shd w:val="clear" w:color="auto" w:fill="FFFFFF"/>
        <w:jc w:val="left"/>
        <w:rPr>
          <w:rFonts w:ascii="微软雅黑" w:eastAsia="微软雅黑" w:hAnsi="微软雅黑" w:cs="宋体"/>
          <w:color w:val="333333"/>
          <w:kern w:val="0"/>
          <w:sz w:val="27"/>
          <w:szCs w:val="27"/>
        </w:rPr>
      </w:pPr>
      <w:r w:rsidRPr="003C0457">
        <w:rPr>
          <w:rFonts w:ascii="微软雅黑" w:eastAsia="微软雅黑" w:hAnsi="微软雅黑" w:cs="宋体"/>
          <w:color w:val="333333"/>
          <w:kern w:val="0"/>
          <w:sz w:val="27"/>
          <w:szCs w:val="27"/>
        </w:rPr>
        <w:t xml:space="preserve">　　非金融机构违反上述规定，为扩大投资者范围、降低投资门槛，利用互联网平台公开宣传、分拆销售具有投资门槛的投资标的、过度强调增信措施掩盖产品风险、设立产品二级交易市场等行为，按照《国务院办公厅关于印发互联网金融风险专项整治工作实施方案的通知》（国办发〔2016〕21号）等进行规范清理，构成非法集资、非法吸收公众存款、非法发行证券的，依法追究法律责任。非金融机构违法违规开展资产管理业务并承诺或进行刚性兑付的，加重处罚。</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Pr>
        <w:pStyle w:val="3"/>
        <w:jc w:val="center"/>
        <w:rPr>
          <w:sz w:val="30"/>
          <w:szCs w:val="30"/>
          <w:lang w:val="zh-CN"/>
        </w:rPr>
      </w:pPr>
      <w:bookmarkStart w:id="40" w:name="_Toc12864200"/>
      <w:r w:rsidRPr="003C0457">
        <w:rPr>
          <w:rFonts w:hint="eastAsia"/>
          <w:sz w:val="30"/>
          <w:szCs w:val="30"/>
          <w:lang w:val="zh-CN"/>
        </w:rPr>
        <w:lastRenderedPageBreak/>
        <w:t>国家发展改革委办公厅关于印发《政府出资产业投资基金信用信息登记指引（试行）》的通知（发改办财金规〔</w:t>
      </w:r>
      <w:r w:rsidRPr="003C0457">
        <w:rPr>
          <w:rFonts w:hint="eastAsia"/>
          <w:sz w:val="30"/>
          <w:szCs w:val="30"/>
          <w:lang w:val="zh-CN"/>
        </w:rPr>
        <w:t>2017</w:t>
      </w:r>
      <w:r w:rsidRPr="003C0457">
        <w:rPr>
          <w:rFonts w:hint="eastAsia"/>
          <w:sz w:val="30"/>
          <w:szCs w:val="30"/>
          <w:lang w:val="zh-CN"/>
        </w:rPr>
        <w:t>〕</w:t>
      </w:r>
      <w:r w:rsidRPr="003C0457">
        <w:rPr>
          <w:rFonts w:hint="eastAsia"/>
          <w:sz w:val="30"/>
          <w:szCs w:val="30"/>
          <w:lang w:val="zh-CN"/>
        </w:rPr>
        <w:t>571</w:t>
      </w:r>
      <w:r w:rsidRPr="003C0457">
        <w:rPr>
          <w:rFonts w:hint="eastAsia"/>
          <w:sz w:val="30"/>
          <w:szCs w:val="30"/>
          <w:lang w:val="zh-CN"/>
        </w:rPr>
        <w:t>号）</w:t>
      </w:r>
      <w:bookmarkEnd w:id="40"/>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为规范政府出资产业投资基金登记管理工作，有效发挥政府资金的引导作用和放大效应，促进政府出资产业投资基金行业持续健康发展，根据《公司法》、《合伙企业法》、《中共中央国务院关于深化投融资体制改革的意见》（中发〔2016〕18号）、</w:t>
      </w:r>
      <w:hyperlink r:id="rId24" w:tgtFrame="_blank" w:history="1">
        <w:r w:rsidRPr="003C0457">
          <w:rPr>
            <w:rFonts w:ascii="微软雅黑" w:eastAsia="微软雅黑" w:hAnsi="微软雅黑" w:hint="eastAsia"/>
            <w:color w:val="333333"/>
            <w:sz w:val="27"/>
            <w:szCs w:val="27"/>
          </w:rPr>
          <w:t>《国务院关于促进创业投资持续健康发展的若干意见》</w:t>
        </w:r>
      </w:hyperlink>
      <w:r w:rsidRPr="003C0457">
        <w:rPr>
          <w:rFonts w:ascii="微软雅黑" w:eastAsia="微软雅黑" w:hAnsi="微软雅黑" w:hint="eastAsia"/>
          <w:color w:val="333333"/>
          <w:sz w:val="27"/>
          <w:szCs w:val="27"/>
        </w:rPr>
        <w:t>（国发〔2016〕53号）、</w:t>
      </w:r>
      <w:hyperlink r:id="rId25" w:tgtFrame="_blank" w:history="1">
        <w:r w:rsidRPr="003C0457">
          <w:rPr>
            <w:rFonts w:ascii="微软雅黑" w:eastAsia="微软雅黑" w:hAnsi="微软雅黑" w:hint="eastAsia"/>
            <w:color w:val="333333"/>
            <w:sz w:val="27"/>
            <w:szCs w:val="27"/>
          </w:rPr>
          <w:t>《国务院关于创新重点领域投融资机制 鼓励社会投资的指导意见》</w:t>
        </w:r>
      </w:hyperlink>
      <w:r w:rsidRPr="003C0457">
        <w:rPr>
          <w:rFonts w:ascii="微软雅黑" w:eastAsia="微软雅黑" w:hAnsi="微软雅黑" w:hint="eastAsia"/>
          <w:color w:val="333333"/>
          <w:sz w:val="27"/>
          <w:szCs w:val="27"/>
        </w:rPr>
        <w:t>（国发〔2014〕60号）、《政府出资产业投资基金管理暂行办法》（发改财金规〔2016〕2800号）等法律法规和有关文件精神，我们制定了《政府出资产业投资基金信用信息登记指引（试行）》。现印发给你们，请认真贯彻执行。</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附件：政府出资产业投资基金信用信息登记指引（试行）</w:t>
      </w:r>
    </w:p>
    <w:p w:rsidR="003C0457" w:rsidRPr="003C0457" w:rsidRDefault="003C0457" w:rsidP="003C0457">
      <w:pPr>
        <w:pStyle w:val="a8"/>
        <w:shd w:val="clear" w:color="auto" w:fill="FFFFFF"/>
        <w:spacing w:before="0"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附件</w:t>
      </w:r>
    </w:p>
    <w:p w:rsidR="003C0457" w:rsidRPr="003C0457" w:rsidRDefault="003C0457" w:rsidP="003C0457">
      <w:pPr>
        <w:pStyle w:val="a8"/>
        <w:shd w:val="clear" w:color="auto" w:fill="FFFFFF"/>
        <w:spacing w:before="0"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政府出资产业投资基金信用信息登记指引（试行）</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第一条 为规范政府出资产业投资基金信用信息登记管理工作，有效发挥政府资金的引导作用和放大效应，促进政府出资产业投资基金行业持续健康发展，根据《公司法》、《合伙企业法》、《中共中央国务院关于深化投融资体制改革的意见》（中发〔2016〕18号）、《国务院关于促进创业投资持续健康发展的若干意见》（国发〔2016〕53号）、《国务院关于创新重点领域投融资机制 鼓励社会投资的指导意见》（国</w:t>
      </w:r>
      <w:r w:rsidRPr="003C0457">
        <w:rPr>
          <w:rFonts w:ascii="微软雅黑" w:eastAsia="微软雅黑" w:hAnsi="微软雅黑" w:hint="eastAsia"/>
          <w:color w:val="333333"/>
          <w:sz w:val="27"/>
          <w:szCs w:val="27"/>
        </w:rPr>
        <w:lastRenderedPageBreak/>
        <w:t>发〔2014〕60号）、《政府出资产业投资基金管理暂行办法》（发改财金规〔2016〕2800号）等法律法规和有关文件精神，制定本指引。</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第二条 本指引所称政府出资产业投资基金，是指有政府（含所属部门、直属机构）直接或委托出资，主要投资于非公开交易企业股权的股权投资基金和创业投资基金；政府出资设立的综合性基金（母基金）也适用本指引。</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第三条 政府出资产业投资基金管理人通过互联网访问全国政府出资产业投资基金信用信息登记系统（网络地址为https://106.39.125.75/）进行登记。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第四条 各级发展改革部门按照《政府出资产业投资基金管理暂行办法》第十五条确定的权限范围开展基金信用信息登记相关管理工作，负责进行基金材料齐备性核对和产业政策符合性审查。国家发展改革委授权并指导中央国债登记结算有限责任公司（简称“中债公司”）开发、运行登记系统，负责对基金信用信息进行登记确认、数据保管和统计分析等。</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第五条 基金管理人应如实提交政府出资产业投资基金登记所需的相关材料，保证所提供的所有材料真实、准确、完整，并承担相应的法律责任。</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第六条 政府出资产业投资基金通过登记系统进行统一登记，是加强政府出资产业投资基金管理的基础性工作，不构成对基金资产安全性、基金管理人投资管理能力、持续合规情况的认可或保证。</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第七条 登记系统登记信息包括基金信息、基金管理人信息、基金股东或合伙人信息、基金托管人信息、投资信息等。</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第八条 政府出资产业投资基金应在认缴协议签订后二十个工作日内，由基金管理人通过登记系统填报。本指引出台前签订认缴协议的基金，应于指引施行后两个月内完成登记。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公司型基金自聘管理团队管理基金资产的，该基金公司作为基金管理人履行登记手续。</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采用母子基金模式运作的，统一由母基金管理人履行登记和变更手续，子基金直接在其母基金登记和变更时填报有关信息，无需另行在登记系统上登记。母基金可授权相关子基金管理人履行登记和变更手续。</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第九条 政府出资产业投资基金登记原则上实行穿透填报，基金投资信息需穿透填报至被投项目有关情况；合伙人需填报至个人和公司法人。</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第十条 采用母子基金模式运作，同时具备下列条件的，相关子基金具体投资信息可免于登记：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（一）母基金投资子基金的金额低于1亿元人民币（或等值外币）；</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（二）母基金投资子基金的金额在子基金规模中占比低于5%；</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（三）母基金投资子基金的金额在母基金规模中占比低于5%。</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符合豁免登记条件的子基金除具体投资信息外的其他信息仍需登记。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第十一条 政府出资产业投资基金首次申请登记完成后五个工作日内，基金管理人应当根据《政府出资产业投资基金管理暂行办法》第十五条确定的权限范围，向发展改革部门书面提交下列材料（附光盘）：</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（一）基金设立相关批复文件；</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（二）基金和基金管理人工商登记文件与营业执照（如适用）；</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（三）基金章程、合伙协议或基金协议；</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（四）基金管理协议（如适用）；</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（五）基金托管协议（可延后补交）；</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（六）基金管理人的章程或合伙协议；</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（七）基金投资人向基金出资的资金证明文件；</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（八）基金管理人公开征选办法及确认文件（如适用）；</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（九）基金管理人信用信息登记承诺函；</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上述材料（一）至（八）项可提交加盖基金管理人公章的复印件，第（九）项应提交原件。</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第十二条 各级地方政府或所属部门、直属机构出资额50亿元人民币（或等值外币）以下的，国家发展改革委授权并指导省（自治区、直辖市）发展改革部门负责材料齐备性核对和产业政策符合性审查。50亿元人民币（或等值外币）以下超过一定规模的县、市地方政府或所属部门、直属机构出资，由省级发展改革部门负责材料齐备性核对和产业政策符合性审查，具体规模由各省（自治区、直辖市）发展改革部门确定。计划单列市发展改革部门负责辖区内政府出资额50亿元人民币（或等值外币）以下的基金材料齐备性核对和产业政策符合性审查。核对和审查通过后，发展改革部门在登记系统中予以确认。</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第十三条 发展改革部门收到书面材料后应进行材料齐备性核对。登记材料齐备的，发展改革部门在五个工作日内在登记系统中予以确认，登记系统自动生成相应的基金登记编码；登记材料不齐备的，发展改革部门通过登记系统明确告知需补充的材料清单。</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第十四条 发展改革部门于基金登记确认后三十个工作日内完成产业政策符合性审查。通过产业政策符合性审查的基金，发展改革部门在登记系统中予以确认；未通过产业政策符合性审查的基金，发展改革部门通过登记系统出具整改意见告知书，抄告有关部门或地方政府，并以适当方式向社会公告。审查结果将以适当方式体现在政府出资产业投资基金绩效评价和信用评价中。</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第十五条 中债公司应采取有效的管理措施，保证登记系统的可用性及系统中相关数据的安全性和完整性。未经国家发展改革委授权，任何人或单位不得使用或对外发布有关信息。</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第十六条 政府出资产业投资基金和基金管理人发生下列重大事项变更的，基金管理人应于十个工作日内通过登记系统提出变更登记申请，并向发展改革部门书面提交变更材料（附光盘）：</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（一）基金设立相关批复文件发生变化；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（二）基金和基金管理人工商登记文件与营业执照发生变化（如适用）；</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（三）基金章程、合伙协议或基金协议发生变化；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（四）基金管理协议发生变化（如适用）；</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（五）基金托管人或托管协议发生变化；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（六）基金管理人的章程或合伙协议发生变化；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（七）基金投资人发生变化；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（八）基金和基金管理人发生分立或者合并；</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（九）基金和基金管理人依法解散、撤销、破产；</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（十）可能对基金持续运行产生重大影响的其他登记要素变化。</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第十七条 已登记的政府出资产业投资基金依法解散或清盘的，应及时告知发展改革部门，发展改革部门应及时注销基金登记。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第十八条 基金管理人应当在每季度结束之日起十个工作日内通过登记系统更新下列信息：</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（一）基金认缴规模和实缴规模；</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（二）设立、参股和退出子基金情况；</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（三）新增投资项目或已投项目进展情况；</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（四）投资项目退出情况；</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（五）投资金融产品情况。</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第十九条 基金管理人应当在每个会计年度结束后四个月内，通过登记系统报送投资运作情况，并提交基金及基金管理人年度财务报告、年度业务报告和托管报告。其中，年度财务报告应当经注册会计师审计，能够准确反映登记的基金和基金管理人资产负债和投资收益等情况；年度业务报告能够准确陈述登记的基金和基金管理人历史沿革、组织管理架构、资本资产状况、经济社会贡献情况、投资运作及典型投资案例等。</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第二十条 建立健全政府出资产业投资基金行业信用体系。国家发展改革委委托第三方信用服务机构开展政府出资产业投资基金及基金管理人信用评价工作。实施守信联合激励和失信联合惩戒制度，褒扬和激励诚信行为，惩戒和约束失信行为。</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基金管理人未按规定及时、准确、完整填报相关信用信息数据或未按要求进行信用信息更新的，发展改革部门将提醒改正；情节严重的，发展改革部门将会同有关部门实施失信联合惩戒，并及时将有关情况抄告有关部门或地方政府。发展改革部门将会同有关部门研究政府出资产业投资基金及基金管理人守信联合激励措施。</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第二十一条  中债公司应按照本指引规定制定政府出资产业投资基金信用信息登记系统操作手册。</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第二十二条 本指引自2017年4月1日起施行，由国家发展改革委负责解释。政府出资产业投资基金行业具体信用评价和信用体系建设办法由国家发展改革委另行制定。</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附：政府出资产业投资基金管理人信用信息登记承诺函模板</w:t>
      </w:r>
    </w:p>
    <w:p w:rsidR="003C0457" w:rsidRPr="003C0457" w:rsidRDefault="003C0457" w:rsidP="003C0457">
      <w:pPr>
        <w:pStyle w:val="a8"/>
        <w:shd w:val="clear" w:color="auto" w:fill="FFFFFF"/>
        <w:spacing w:before="0"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附</w:t>
      </w:r>
    </w:p>
    <w:p w:rsidR="003C0457" w:rsidRPr="003C0457" w:rsidRDefault="003C0457" w:rsidP="003C0457">
      <w:pPr>
        <w:pStyle w:val="a8"/>
        <w:shd w:val="clear" w:color="auto" w:fill="FFFFFF"/>
        <w:spacing w:before="0"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政府出资产业投资基金管理人</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信用信息登记承诺函</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机构名称：</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统一信用代码或工商注册号：</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注册地址：</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本机构郑重承诺：</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lastRenderedPageBreak/>
        <w:t>一、向政府出资产业投资基金信用信息登记系统提供的所有材料及填报的信息真实、准确、完整，不存在任何虚假记载、误导性陈述或重大遗漏，并愿意承担全部的法律责任。</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二、本机构高级管理人员及从业人员将严格执行有关规定进行登记，全面履行应尽的责任和义务，诚实守信，遵守职业道德，接受有关部门的监督管理。</w:t>
      </w:r>
    </w:p>
    <w:p w:rsidR="003C0457" w:rsidRPr="003C0457" w:rsidRDefault="003C0457" w:rsidP="003C0457">
      <w:pPr>
        <w:pStyle w:val="a8"/>
        <w:shd w:val="clear" w:color="auto" w:fill="FFFFFF"/>
        <w:spacing w:before="225" w:beforeAutospacing="0" w:after="0" w:afterAutospacing="0"/>
        <w:ind w:firstLine="480"/>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特此承诺。</w:t>
      </w:r>
    </w:p>
    <w:p w:rsidR="003C0457" w:rsidRPr="003C0457" w:rsidRDefault="003C0457" w:rsidP="003C0457">
      <w:pPr>
        <w:pStyle w:val="a8"/>
        <w:shd w:val="clear" w:color="auto" w:fill="FFFFFF"/>
        <w:spacing w:before="225"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机构名称：</w:t>
      </w:r>
    </w:p>
    <w:p w:rsidR="003C0457" w:rsidRPr="003C0457" w:rsidRDefault="003C0457" w:rsidP="003C0457">
      <w:pPr>
        <w:pStyle w:val="a8"/>
        <w:shd w:val="clear" w:color="auto" w:fill="FFFFFF"/>
        <w:spacing w:before="225"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（加盖公章）</w:t>
      </w:r>
    </w:p>
    <w:p w:rsidR="003C0457" w:rsidRPr="003C0457" w:rsidRDefault="003C0457" w:rsidP="003C0457">
      <w:pPr>
        <w:pStyle w:val="a8"/>
        <w:shd w:val="clear" w:color="auto" w:fill="FFFFFF"/>
        <w:spacing w:before="225"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法定代表人/执行事务合伙人/执行事务合伙人委派代表签名：</w:t>
      </w:r>
    </w:p>
    <w:p w:rsidR="003C0457" w:rsidRPr="003C0457" w:rsidRDefault="003C0457" w:rsidP="003C0457">
      <w:pPr>
        <w:pStyle w:val="a8"/>
        <w:shd w:val="clear" w:color="auto" w:fill="FFFFFF"/>
        <w:spacing w:before="225" w:beforeAutospacing="0" w:after="0" w:afterAutospacing="0"/>
        <w:jc w:val="center"/>
        <w:rPr>
          <w:rFonts w:ascii="微软雅黑" w:eastAsia="微软雅黑" w:hAnsi="微软雅黑"/>
          <w:color w:val="333333"/>
          <w:sz w:val="27"/>
          <w:szCs w:val="27"/>
        </w:rPr>
      </w:pPr>
      <w:r w:rsidRPr="003C0457">
        <w:rPr>
          <w:rFonts w:ascii="微软雅黑" w:eastAsia="微软雅黑" w:hAnsi="微软雅黑" w:hint="eastAsia"/>
          <w:color w:val="333333"/>
          <w:sz w:val="27"/>
          <w:szCs w:val="27"/>
        </w:rPr>
        <w:t>年   月   日</w:t>
      </w: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rPr>
          <w:lang w:val="zh-CN"/>
        </w:rPr>
      </w:pPr>
    </w:p>
    <w:p w:rsidR="003C0457" w:rsidRDefault="003C0457" w:rsidP="003C0457">
      <w:pPr>
        <w:pStyle w:val="3"/>
        <w:jc w:val="center"/>
        <w:rPr>
          <w:sz w:val="30"/>
          <w:szCs w:val="30"/>
          <w:lang w:val="zh-CN"/>
        </w:rPr>
      </w:pPr>
      <w:bookmarkStart w:id="41" w:name="_Toc12864201"/>
      <w:r w:rsidRPr="003C0457">
        <w:rPr>
          <w:rFonts w:hint="eastAsia"/>
          <w:sz w:val="30"/>
          <w:szCs w:val="30"/>
          <w:lang w:val="zh-CN"/>
        </w:rPr>
        <w:lastRenderedPageBreak/>
        <w:t>中央预算内投资补助和贴息项目管理办法（</w:t>
      </w:r>
      <w:r w:rsidRPr="003C0457">
        <w:rPr>
          <w:rFonts w:hint="eastAsia"/>
          <w:sz w:val="30"/>
          <w:szCs w:val="30"/>
          <w:lang w:val="zh-CN"/>
        </w:rPr>
        <w:t>2016</w:t>
      </w:r>
      <w:r w:rsidRPr="003C0457">
        <w:rPr>
          <w:rFonts w:hint="eastAsia"/>
          <w:sz w:val="30"/>
          <w:szCs w:val="30"/>
          <w:lang w:val="zh-CN"/>
        </w:rPr>
        <w:t>）（国家发展和改革委员会令第</w:t>
      </w:r>
      <w:r w:rsidRPr="003C0457">
        <w:rPr>
          <w:rFonts w:hint="eastAsia"/>
          <w:sz w:val="30"/>
          <w:szCs w:val="30"/>
          <w:lang w:val="zh-CN"/>
        </w:rPr>
        <w:t>45</w:t>
      </w:r>
      <w:r w:rsidRPr="003C0457">
        <w:rPr>
          <w:rFonts w:hint="eastAsia"/>
          <w:sz w:val="30"/>
          <w:szCs w:val="30"/>
          <w:lang w:val="zh-CN"/>
        </w:rPr>
        <w:t>号）</w:t>
      </w:r>
      <w:bookmarkEnd w:id="41"/>
    </w:p>
    <w:p w:rsidR="003C0457" w:rsidRPr="003C0457" w:rsidRDefault="003C0457" w:rsidP="003C0457">
      <w:pPr>
        <w:widowControl/>
        <w:shd w:val="clear" w:color="auto" w:fill="FFFFFF"/>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中央预算内投资补助和贴息项目管理办法》业经国家发展和改革委员会主任办公会讨论通过，现予发布。自2017年1月5日起施行。2013年发布的《中央预算内投资补助和贴息项目管理办法》（中华人民共和国国家发展和改革委员会令第3号）同时废止。</w:t>
      </w:r>
    </w:p>
    <w:p w:rsidR="003C0457" w:rsidRPr="003C0457" w:rsidRDefault="003C0457" w:rsidP="003C0457">
      <w:pPr>
        <w:widowControl/>
        <w:shd w:val="clear" w:color="auto" w:fill="FFFFFF"/>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主　任　　徐绍史　　 　　</w:t>
      </w:r>
    </w:p>
    <w:p w:rsidR="003C0457" w:rsidRPr="003C0457" w:rsidRDefault="003C0457" w:rsidP="003C0457">
      <w:pPr>
        <w:widowControl/>
        <w:shd w:val="clear" w:color="auto" w:fill="FFFFFF"/>
        <w:jc w:val="right"/>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 xml:space="preserve">2016年12月5日　　　　</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中央预算内投资补助和贴息项目管理办法</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第一章　总　　则</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第一条　为规范中央预算内投资补助和贴息项目的管理，提高中央预算内投资补助和贴息资金的使用效益，依据《中共中央国务院关于深化投融资体制改革的意见》、《国务院关于投资体制改革的决定》以及有关法律、行政法规，制定本办法。</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第二条　以投资补助和贴息方式安排中央预算内投资的项目管理，适用本办法。</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第三条　本办法所称投资补助，是指国家发展改革委对符合条件的地方政府投资项目和企业投资项目给予的投资资金补助。</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本办法所称贴息，是指国家发展改革委对符合条件，使用了中长期贷款的投资项目给予的贷款利息补贴。</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投资补助和贴息资金均为无偿投入。</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第四条　投资补助和贴息资金重点用于市场不能有效配置资源，需要政府支持的经济和社会领域。具体包括：</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（一）社会公益服务和公共基础设施；</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（二）农业和农村；</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（三）生态环境保护和修复；</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（四）重大科技进步；</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（五）社会管理和国家安全；</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（六）符合国家有关规定的其他公共领域。</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第五条　国家发展改革委应当按照宏观调控的要求，根据国务院确定的工作重点，严格遵守科学、民主、公开、公正、高效的原则，平等对待各类投资主体，会同相关行业部门统筹安排投资补助和贴息项目。对欠发达地区，特别是革命老区、民族地区、边疆地区和集中连片特殊困难地区的投资项目应当适当倾斜。</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第六条　国家发展改革委安排投资补助和贴息项目，应当分专项制定工作方案或管理办法，明确投资补助和贴息的预定目标、实施周期、支持范围、资金安排方式、工作程序、监督管理等主要内容，并针对不同行业、不同地区、不同性质投资项目的具体情况，确定相应的投资补助、贴息标准，作为各专项投资补助和贴息项目管理的具体依据。</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工作方案或管理办法应当符合国家有关法律法规、产业政策、专项规划和有关宏观调控政策的要求，凡不涉及保密内容的，均应当公开。</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第七条　投资补助和贴息资金应当用于计划新开工或续建项目，原则上不得用于已完工项目。</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项目的投资补助和贴息金额原则上应当一次性核定，对于已经足额安排的项目，不得重复申请。同一项目原则上不得重复申请不同专项资金。</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第二章　申报和审核</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第八条　申请投资补助或者贴息资金的项目，应当列入3年滚动投资计划，并通过投资项目在线审批监管平台（以下简称“在线平台”）完成审批、核准或备案程序（地方政府投资项目应完成项目可行性研究报告或者初步设计审批），并提交资金申请报告。</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第九条　资金申请报告应当包括以下内容：</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（一）项目单位的基本情况；</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（二）项目的基本情况，包括在线平台生成的项目代码、建设内容、总投资及资金来源、建设条件落实情况等；</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（三）项目列入3年滚动投资计划，并通过在线平台完成审批（核准、备案）情况；</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（四）申请投资补助或者贴息资金的主要理由和政策依据；</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（五）工作方案或管理办法要求提供的其他内容。</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项目单位应对所提交的资金申请报告内容的真实性负责。</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第十条　资金申请报告由需要申请投资补助或者贴息资金的项目单位提出，按程序报送项目汇总申报单位。项目汇总申报单位应当对资金申请报告提出审核意见，并汇总报送国家发展改革委。资金申请报告可以单独报送，或者与年度投资计划申请合并报送。</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各省、自治区、直辖市和计划单列市、新疆生产建设兵团发展改革委（以下简称省级发展改革委）、计划单列企业集团和中央管理企业等为项目汇总申报单位。</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第十一条　项目汇总申报单位应当对资金申请报告的下列事项进行审核，并对审核结果和申报材料的真实性、合规性负责：</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（一）符合本办法规定的资金投向和申请程序；</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（二）符合有关专项工作方案或管理办法的要求；</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（三）项目的主要建设条件基本落实；</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（四）项目已经列入3年滚动投资计划，并通过在线平台完成审批（核准、备案）。</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第三章　批复和下达</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第十二条　国家发展改革委受理资金申请报告后，视具体情况对相关事项进行审查，确有必要时可以委托相关单位进行评审。</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项目单位被列入联合惩戒合作备忘录黑名单的，国家发展改革委不予受理其资金申请报告。</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第十三条　对于同意安排投资补助或者贴息资金的项目，国家发展改革委应当批复其资金申请报告。资金申请报告可以单独批复，或者在下达投资计划时合并批复。</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第十四条　批复资金申请报告应当确定给予项目的投资补助或者贴息金额，并根据项目实施和资金安排情况，一次或者分次下达投资计划。</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第十五条　采用贴息方式的，贴息资金总额根据项目符合贴息条件的贷款总额、当年贴息率和贴息年限计算确定。贴息率应当不高于当期银行中长期贷款利率的上限。</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第十六条　对于补助地方的项目，数量多、范围广、单项资金少的和下达年度投资计划时无法明确到具体项目的，国家发展改革委可以打捆或切块下达年度投资计划。</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打捆下达的年度投资计划仅下达同意安排的项目数量、投资补助和贴息总额，由省级发展改革委负责分解。切块下达的年度投资计划，应当明确投资目标、建设任务、补助标准和工作要求等，由省级发展改革委负责安排具体项目。</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省级发展改革委应当对上述计划分解和安排的合规性负责，并在规定时限内通过在线平台报备相关项目信息。国家发展改革委应当加大监督检查工作力度。</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第四章　项目实施管理</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第十七条　使用投资补助和贴息资金的项目，应当严格执行国家有关政策要求，不得擅自改变主要建设内容和建设标准，严禁转移、侵占或者挪用投资补助和贴息资金。</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第十八条　项目汇总申报单位应当定期组织调度已下达投资补助和贴息项目的下列实施情况，并按时通过在线平台向国家发展改革委报告：</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（一）项目实际开竣工时间；</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（二）项目资金到位、支付和投资完成情况；</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（三）项目的主要建设内容；</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（四）项目工程形象进度；</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（五）存在的问题。</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第十九条　因不能开工建设或者建设规模、标准和内容发生较大变化等情况，导致项目不能完成既定建设目标的，项目单位和项目汇总申报单位应当及时报告情况和原因，国家发展改革委可以根据具体情况进行相应调整。打捆和切块下达年度投资计划的项目由省级发展改革委调整，调整结果应当及时通过在线平台报备。</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第二十条　国家发展改革委必要时可以对投资补助和贴息有关工作方案和政策等开展中期评估和后评价工作，并根据评估评价情况及时对有关工作方案和政策作出必要调整。</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第二十一条　投资补助和贴息项目的财务管理，按照财政部门的有关财务管理规定执行。</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第五章　监督检查和法律责任</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第二十二条　不涉及保密要求的投资补助和贴息项目，应当按照有关规定公开。</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国家发展改革委接受单位、个人对投资补助和贴息项目在审批、建设过程中违法违规行为的举报，并按照有关规定予以查处。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第二十三条　各级发展改革部门应当会同有关部门，依据职责分工，利用在线平台，对使用投资补助和贴息资金的项目加强监管，防止转移、侵占或者挪用投资补助和贴息资金，保证政府投资资金的合理使用和项目顺利建设实施。</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第二十四条　各级发展改革部门应当按照有关规定对投资补助和贴息项目进行稽察，对稽察发现的问题按照有关规定及时作出处理，并将整改落实情况作为安排投资补助和贴息的重要依据。</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第二十五条　各级发展改革部门、中央管理企业和项目单位应当自觉接受审计、监察、财政等部门依据职能分工进行的监督检查。</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第二十六条　国家发展改革委工作人员有下列行为之一的，责令其限期整改，根据实际情况依纪依法追究有关责任人的党纪责任、行政责任；构成犯罪的，由司法机关依法追究刑事责任：</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（一）违反《中国共产党纪律处分条例》、《行政机关公务员处分条例》相关规定的；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（二）违反规定受理资金申请报告的；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（三）违反规定的程序和原则安排投资补助和贴息的；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（四）其他违反本办法的行为。</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第二十七条　项目汇总申报单位和地（市）、县（市）级发展改革部门有下列行为之一的，国家发展改革委可根据情节，在一定时期和范围内不再受理其报送的资金申请报告，或者调减其中央预算内投资安排规模：</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（一）指令或授意项目单位提供虚假情况、骗取投资补助和贴息资金的；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（二）审核项目不严、造成投资补助和贴息资金损失的；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（三）对于打捆和切块下达的年度投资计划分解和安排出现严重失误的；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（四）所在地区或所属企业的项目存在较多问题且督促整改不到位的；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（五）未按要求通过在线平台报告相关项目信息的；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（六）其他违反本办法的行为。</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第二十八条　项目单位有下列行为之一的，国家发展改革委（打捆和切块下达投资计划的项目由省级发展改革委）责令其限期整改；拒不整改或者整改后仍不符合要求的，应当核减、收回或者停止拨付投资补助和贴息资金，暂停其申报中央投资补助和贴息项目，将相关信息纳入全国信用信息共享平台和在“信用中国”网站公开，并可以根据情节轻重提请或者移交有关机关依法追究有关责任人的行政或者法律责任：</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（一）提供虚假情况，骗取投资补助和贴息资金的；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（二）转移、侵占或者挪用投资补助和贴息资金的；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lastRenderedPageBreak/>
        <w:t>（三）擅自改变主要建设内容和建设标准的；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（四）项目建设规模、标准和内容发生较大变化而不及时报告的；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（五）无正当理由未及时建设实施的；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（六）拒不接受依法进行的稽察或者监督检查的；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（七）未按要求通过在线平台报告相关项目信息的；</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（八）其他违反国家法律法规和本办法规定的行为。</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jc w:val="center"/>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第六章　附　　则</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第二十九条　为了应对自然灾害和突发事件等不可预见事项，需要紧急下达投资补助或贴息的项目，不适用本办法。</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第三十条　本办法由国家发展改革委负责解释。</w:t>
      </w:r>
    </w:p>
    <w:p w:rsidR="003C0457" w:rsidRPr="003C0457" w:rsidRDefault="003C0457" w:rsidP="003C0457">
      <w:pPr>
        <w:widowControl/>
        <w:shd w:val="clear" w:color="auto" w:fill="FFFFFF"/>
        <w:ind w:firstLine="480"/>
        <w:rPr>
          <w:rFonts w:ascii="微软雅黑" w:eastAsia="微软雅黑" w:hAnsi="微软雅黑" w:cs="宋体"/>
          <w:color w:val="333333"/>
          <w:kern w:val="0"/>
          <w:sz w:val="27"/>
          <w:szCs w:val="27"/>
        </w:rPr>
      </w:pPr>
      <w:r w:rsidRPr="003C0457">
        <w:rPr>
          <w:rFonts w:ascii="微软雅黑" w:eastAsia="微软雅黑" w:hAnsi="微软雅黑" w:cs="宋体" w:hint="eastAsia"/>
          <w:color w:val="333333"/>
          <w:kern w:val="0"/>
          <w:sz w:val="27"/>
          <w:szCs w:val="27"/>
        </w:rPr>
        <w:t>第三十一条　本办法自2017年1月5日起施行。《中央预算内投资补助和贴息项目管理办法》（中华人民共和国国家发展和改革委员会令第3号）同时废止。</w:t>
      </w:r>
    </w:p>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3C0457" w:rsidRDefault="003C0457"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EC7731" w:rsidRDefault="00EC7731" w:rsidP="003C0457"/>
    <w:p w:rsidR="003C0457" w:rsidRPr="00EC7731" w:rsidRDefault="00EC7731" w:rsidP="00EC7731">
      <w:pPr>
        <w:pStyle w:val="2"/>
        <w:jc w:val="center"/>
      </w:pPr>
      <w:bookmarkStart w:id="42" w:name="_Toc12864202"/>
      <w:r w:rsidRPr="00EC7731">
        <w:rPr>
          <w:rFonts w:hint="eastAsia"/>
        </w:rPr>
        <w:t>（二）</w:t>
      </w:r>
      <w:r w:rsidRPr="00EC7731">
        <w:rPr>
          <w:rFonts w:hint="eastAsia"/>
        </w:rPr>
        <w:t>PPP</w:t>
      </w:r>
      <w:r w:rsidRPr="00EC7731">
        <w:rPr>
          <w:rFonts w:hint="eastAsia"/>
        </w:rPr>
        <w:t>融资支持类</w:t>
      </w:r>
      <w:bookmarkEnd w:id="42"/>
    </w:p>
    <w:p w:rsidR="00EC7731" w:rsidRDefault="00EC7731" w:rsidP="00EC7731">
      <w:pPr>
        <w:pStyle w:val="2"/>
        <w:jc w:val="center"/>
      </w:pPr>
      <w:bookmarkStart w:id="43" w:name="_Toc12864203"/>
      <w:r w:rsidRPr="00EC7731">
        <w:rPr>
          <w:rFonts w:hint="eastAsia"/>
        </w:rPr>
        <w:t>1</w:t>
      </w:r>
      <w:r w:rsidRPr="00EC7731">
        <w:rPr>
          <w:rFonts w:hint="eastAsia"/>
        </w:rPr>
        <w:t>、财政部文件</w:t>
      </w:r>
      <w:bookmarkEnd w:id="43"/>
    </w:p>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EC7731" w:rsidP="00EC7731"/>
    <w:p w:rsidR="00EC7731" w:rsidRDefault="008B1372" w:rsidP="008B1372">
      <w:pPr>
        <w:pStyle w:val="3"/>
        <w:jc w:val="center"/>
        <w:rPr>
          <w:sz w:val="30"/>
          <w:szCs w:val="30"/>
        </w:rPr>
      </w:pPr>
      <w:bookmarkStart w:id="44" w:name="_Toc12864204"/>
      <w:r w:rsidRPr="008B1372">
        <w:rPr>
          <w:rFonts w:hint="eastAsia"/>
          <w:sz w:val="30"/>
          <w:szCs w:val="30"/>
        </w:rPr>
        <w:lastRenderedPageBreak/>
        <w:t>财政部关于做好地方政府债券发行工作的意见（财库〔</w:t>
      </w:r>
      <w:r w:rsidRPr="008B1372">
        <w:rPr>
          <w:rFonts w:hint="eastAsia"/>
          <w:sz w:val="30"/>
          <w:szCs w:val="30"/>
        </w:rPr>
        <w:t>2019</w:t>
      </w:r>
      <w:r w:rsidRPr="008B1372">
        <w:rPr>
          <w:rFonts w:hint="eastAsia"/>
          <w:sz w:val="30"/>
          <w:szCs w:val="30"/>
        </w:rPr>
        <w:t>〕</w:t>
      </w:r>
      <w:r w:rsidRPr="008B1372">
        <w:rPr>
          <w:rFonts w:hint="eastAsia"/>
          <w:sz w:val="30"/>
          <w:szCs w:val="30"/>
        </w:rPr>
        <w:t>23</w:t>
      </w:r>
      <w:r w:rsidRPr="008B1372">
        <w:rPr>
          <w:rFonts w:hint="eastAsia"/>
          <w:sz w:val="30"/>
          <w:szCs w:val="30"/>
        </w:rPr>
        <w:t>号）</w:t>
      </w:r>
      <w:bookmarkEnd w:id="44"/>
    </w:p>
    <w:p w:rsidR="008B1372" w:rsidRPr="008B1372" w:rsidRDefault="008B1372" w:rsidP="008B1372">
      <w:pPr>
        <w:widowControl/>
        <w:spacing w:before="450" w:line="540" w:lineRule="atLeast"/>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各省、自治区、直辖市、计划单列市财政厅（局），新疆生产建设兵团财政局，中央国债登记结算有限责任公司、中国证券登记结算有限责任公司，上海证券交易所、深圳证券交易所，相关金融机构和信用评级机构：</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根据《中华人民共和国预算法》、《国务院关于加强地方政府性债务管理的意见》（国发〔2014〕43号）和地方政府债券（以下称地方债券）发行管理有关规定，现就做好地方债券发行工作提出如下意见：</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一、合理把握地方债券发行节奏，加快发行进度</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地方财政部门应当根据资金需求、地方债券到期情况、债券市场状况等因素，统筹资金需求与库款充裕程度，科学设计债券发行计划。各地应当合理把握发行节奏，切实加快债券发行进度，2019年6月底前完成提前下达新增债券额度的发行，争取在9月底前完成全年新增债券发行。</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二、进一步提升地方债券发行定价市场化水平</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（一）地方财政部门、地方债券承销团成员、信用评级机构及其他相关主体应当进一步强化市场化意识，严格按照市场化、规范化原则做好地方债券发行相关工作。</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（二）地方财政部门应当将地方国库现金管理与地方债券发行脱钩，不得在地方国库现金管理招标评分体系中，将2019年及以后年度发行地方债券的认购情况作为评价因素。</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三）地方财政部门应当在加强与承销团成员沟通的基础上，在招标发行规则中合理设定承销团成员最低投标比例、最低承销比例、最高投标比例、债券投标利率区间上下限、单一标位投标量等技术参数要求，其中，单一标位最高投标量不得高于当期债券计划发行量的35%。在承销团中设有主承销商的地区，应当对不同类型承销团成员分别设定投标技术参数要求，合理匹配不同类型承销团成员的权利与义务。</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三、科学确定地方债券期限结构</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财政部不再限制地方债券期限比例结构，地方财政部门自主确定期限。对于一般债券，地方财政部门应当合理均衡各期限发行规模，满足更多类型投资者的期限偏好。对于专项债券，地方财政部门应当根据项目实际情况，综合考虑项目期限、投资者需求、债务年度分布等因素，科学确定发行期限，逐步提高长期债券发行占比，更好匹配项目资金需求和期限。</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四、完善地方债券信息披露</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地方财政部门应当严格执行财政部关于地方政府债务信息公开有关规定。地方财政部门应当在每月20日前披露本地区下一月度新增地方政府债券和再融资债券发行安排；在每季度最后一个月20日前披露本地区下季度地方债券发行计划，应包括发行时间（披露到旬）、债券品种（一般债券或专项债券）、用途（新增债券或再融资债券）、期限等。如每季度最后一个月20日前10个工作日各省发行额度尚未下达，地方财政部门应当在额度下达后10个工作日内披露季度计划。地方财政部门应当进一步做好专项债券信息披露工作，重点披露本地区及使用债券资金相关地区的政府性基金预算收入、专项债券项目风险等财政经济信息，以及债券规模、利率、期限、具体使用项目、偿债计划等债券信息，并充分披露对应项目详细情况、项目融资来源、项目预期收益情况、收益和融资平衡方案，以及由第三方专业机构出具的评估意见等。地方财政部门要加大债券发行兑付信息披露力度。鼓励地方财政部门结合项目实际情况，不断丰富专项债券信息披露内容。</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五、推出地方债券柜台发行</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按照积极稳妥、分步推进的原则，由省级财政部门分批实施地方债券商业银行柜台市场发行业务。综合考虑市场需求、债券期限、债券品种、项目收益、发行节奏等因素，重点支持专项债券在本地区范围内面向个人和中小机构投资者发售。</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六、加强地方债券资金拨付管理</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一）地方财政部门应当加快地方债券资金拨付，防范资金长期滞留国库，尽早发挥债券资金使用效益。有条件的地方在地方债券发行前，可对预算已安排的债券资金项目通过调度库款支付，加快项目建设进度，待债券发行后及时回补库款。</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（二）对于再融资债券，如债券到期时库款比较充裕，在不突破再融资债券发行规模上限且严格保障财政支付需要的前提下，地方财政部门可使用库款支付还本资金，待债券发行后及时回补库款。</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七、规范地方债券发行现场管理</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地方财政部门以及中央国债登记结算有限责任公司、上海证券交易所、深圳证券交易所等财政部政府债券发行系统业务技术支持部门应当严格按照《地方债券发行现场管理工作规范》有关规定，切实加强地方债券发行现场管理，规范做好发行现场人员出入登记、通讯设备存放、无线电屏蔽、电话录音等工作，保障地方债券发行工作有序开展。发行现场应当邀请非财政部门派出监督员，对发行现场人员、通讯、应急操作等情况进行监督。如遇特殊情况，应当及时向财政部（国库司）报告。</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八、及时报送发行情况</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一）地方财政部门应当在各省全年发行额度下达10个工作日内，向财政部上报全年债券发行总体安排，2019年全年债券发行总体安排于5月5日前上报。每季度最后一个月15日前，向财政部上报下季度地方债券发行初步安排，如在上报时点各省发行额度尚未下达，应当在额度下达后10个工作日内上报季度发行安排。</w:t>
      </w:r>
    </w:p>
    <w:p w:rsidR="008B1372" w:rsidRPr="008B1372" w:rsidRDefault="008B1372" w:rsidP="008B1372">
      <w:pPr>
        <w:widowControl/>
        <w:spacing w:before="450" w:line="540" w:lineRule="atLeast"/>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二）地方财政部门应当在全年地方债券发行工作完成后20个工作日内，向财政部及当地监管局报告年度发行情况。地方财政部门、支持部门、登记结算机构等如遇涉及地方债券发行的重大或异常情况，应当及时向财政部报告。</w:t>
      </w:r>
    </w:p>
    <w:p w:rsidR="008B1372" w:rsidRPr="008B1372" w:rsidRDefault="008B1372" w:rsidP="008B1372">
      <w:pPr>
        <w:widowControl/>
        <w:spacing w:before="450" w:line="540" w:lineRule="atLeast"/>
        <w:ind w:firstLine="480"/>
        <w:jc w:val="righ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财  政  部</w:t>
      </w:r>
    </w:p>
    <w:p w:rsidR="008B1372" w:rsidRPr="008B1372" w:rsidRDefault="008B1372" w:rsidP="008B1372">
      <w:pPr>
        <w:widowControl/>
        <w:spacing w:before="450" w:line="540" w:lineRule="atLeast"/>
        <w:ind w:firstLine="480"/>
        <w:jc w:val="righ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2019年4月25日</w:t>
      </w:r>
    </w:p>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Pr>
        <w:pStyle w:val="3"/>
        <w:jc w:val="center"/>
        <w:rPr>
          <w:sz w:val="30"/>
          <w:szCs w:val="30"/>
        </w:rPr>
      </w:pPr>
      <w:bookmarkStart w:id="45" w:name="_Toc12864205"/>
      <w:r w:rsidRPr="008B1372">
        <w:rPr>
          <w:rFonts w:hint="eastAsia"/>
          <w:sz w:val="30"/>
          <w:szCs w:val="30"/>
        </w:rPr>
        <w:lastRenderedPageBreak/>
        <w:t>财政部关于做好地方政府专项债券发行工作的意见（财库〔</w:t>
      </w:r>
      <w:r w:rsidRPr="008B1372">
        <w:rPr>
          <w:rFonts w:hint="eastAsia"/>
          <w:sz w:val="30"/>
          <w:szCs w:val="30"/>
        </w:rPr>
        <w:t>2018</w:t>
      </w:r>
      <w:r w:rsidRPr="008B1372">
        <w:rPr>
          <w:rFonts w:hint="eastAsia"/>
          <w:sz w:val="30"/>
          <w:szCs w:val="30"/>
        </w:rPr>
        <w:t>〕</w:t>
      </w:r>
      <w:r w:rsidRPr="008B1372">
        <w:rPr>
          <w:rFonts w:hint="eastAsia"/>
          <w:sz w:val="30"/>
          <w:szCs w:val="30"/>
        </w:rPr>
        <w:t>72</w:t>
      </w:r>
      <w:r w:rsidRPr="008B1372">
        <w:rPr>
          <w:rFonts w:hint="eastAsia"/>
          <w:sz w:val="30"/>
          <w:szCs w:val="30"/>
        </w:rPr>
        <w:t>号）</w:t>
      </w:r>
      <w:bookmarkEnd w:id="45"/>
    </w:p>
    <w:p w:rsidR="008B1372" w:rsidRPr="008B1372" w:rsidRDefault="008B1372" w:rsidP="008B1372">
      <w:pPr>
        <w:widowControl/>
        <w:shd w:val="clear" w:color="auto" w:fill="FFFFFF"/>
        <w:wordWrap w:val="0"/>
        <w:ind w:firstLine="480"/>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各省、自治区、直辖市、计划单列市财政厅（局），新疆生产建设兵团财政局，中央国债登记结算有限责任公司、中国证券登记结算有限责任公司，上海证券交易所、深圳证券交易所，有关金融机构：</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为加快地方政府专项债券（以下简称专项债券）发行和使用进度，更好地发挥专项债券对稳投资、扩内需、补短板的作用，现就做好专项债券发行工作有关事宜通知如下：</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一、加快专项债券发行进度。各级财政部门应当会同专项债券对应项目主管部门，加快专项债券发行前期准备工作，项目准备成熟一批发行一批。省级财政部门应当合理把握专项债券发行节奏，科学安排今年后几个月特别是8、9月发行计划，加快发行进度。今年地方政府债券（以下简称地方债券）发行进度不受季度均衡要求限制，各地至9月底累计完成新增专项债券发行比例原则上不得低于80%，剩余的发行额度应当主要放在10月份发行。</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二、提升专项债券发行市场化水平。省级财政部门应当根据专项债券发行规模、债券市场情况等因素，选择招标（含弹性招标）、公开承销等方式组织专项债券发行工作。承销机构应当综合考虑同期限国债、政策性金融债利率水平及二级市场地方债券估值等因素决定投标价格，地方财政部门不得以财政存款等对承销机构施加影响人为压价。对于采用非市场化方式干预地方债券发行定价的，一经查实，财政部将予以通报。</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三、优化债券发行程序。省级财政部门应当不迟于发行前7个工作日，与发行场所协商地方债券（包括一般债券、专项债券，下同）发行时间，发行场所原则上应当按照“先商先得”的方式给予确认。各发行场所要加强沟通，避免不同省份在同一时段窗口发行地方债券，防止集中扎堆发行；需财政部进行协调的，请及时与财政部联系。本文印发前，省级财政部门已向财政部备案发行时间的，按既定时间发债。各地可在省内集合发行不同市、县相同类型专项债券，提高债券发行效率。财政部不再限制专项债券期限比例结构，各地应当根据项目建设、债券市场需求等合理确定专项债券期限。当债券发行现场不在北京时，财政部授权发债地区省级财政部门不迟于发行前3个工作日，书面通知当地财政监察专员办事处派出发行现场观察员。</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四、简化债券信息披露流程。省级财政部门应当及时在本单位门户网站、中国债券信息网等网站披露地方债券发行相关信息，不再向财政部备案需公开的信息披露文件。省级财政部门对信息披露文件的合规性、完整性负责，要严格落实专项债券对应项目主管部门和市县责任，督促其科学制定项目融资与收益自求平衡方案。信息披露情况作为财政部评价各地地方债券发行工作的重要参考。</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五、加快专项债券资金拨付使用。各级财政部门应当及时安排使用专项债券收入，加快专项债券资金拨付，防范资金长期滞留国库，尽早发挥专项债券使用效益。有条件的地方在地方债券发行前，可对预算已安排的债券资金项目通过调度库款周转，加快项目建设进度，待债券发行后及时回补库款。</w:t>
      </w:r>
    </w:p>
    <w:p w:rsidR="008B1372" w:rsidRPr="008B1372" w:rsidRDefault="008B1372" w:rsidP="008B1372">
      <w:pPr>
        <w:widowControl/>
        <w:shd w:val="clear" w:color="auto" w:fill="FFFFFF"/>
        <w:wordWrap w:val="0"/>
        <w:ind w:firstLine="480"/>
        <w:jc w:val="lef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lastRenderedPageBreak/>
        <w:t>六、加强债券信息报送。为监测地方债券发行情况，请省级财政部门于今年每月底前，向财政部报送下月分旬新增专项债券发行计划，8月发行计划于8月20日前报送；不迟于债券发行前6个工作日报送地方债券发行时间、规模、品种和期限结构等计划安排。</w:t>
      </w:r>
    </w:p>
    <w:p w:rsidR="008B1372" w:rsidRPr="008B1372" w:rsidRDefault="008B1372" w:rsidP="008B1372">
      <w:pPr>
        <w:widowControl/>
        <w:shd w:val="clear" w:color="auto" w:fill="FFFFFF"/>
        <w:wordWrap w:val="0"/>
        <w:ind w:firstLine="480"/>
        <w:jc w:val="righ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财 政 部</w:t>
      </w:r>
    </w:p>
    <w:p w:rsidR="008B1372" w:rsidRPr="008B1372" w:rsidRDefault="008B1372" w:rsidP="008B1372">
      <w:pPr>
        <w:widowControl/>
        <w:shd w:val="clear" w:color="auto" w:fill="FFFFFF"/>
        <w:wordWrap w:val="0"/>
        <w:ind w:firstLine="480"/>
        <w:jc w:val="right"/>
        <w:rPr>
          <w:rFonts w:ascii="微软雅黑" w:eastAsia="微软雅黑" w:hAnsi="微软雅黑" w:cs="宋体"/>
          <w:color w:val="333333"/>
          <w:kern w:val="0"/>
          <w:sz w:val="27"/>
          <w:szCs w:val="27"/>
        </w:rPr>
      </w:pPr>
      <w:r w:rsidRPr="008B1372">
        <w:rPr>
          <w:rFonts w:ascii="微软雅黑" w:eastAsia="微软雅黑" w:hAnsi="微软雅黑" w:cs="宋体" w:hint="eastAsia"/>
          <w:color w:val="333333"/>
          <w:kern w:val="0"/>
          <w:sz w:val="27"/>
          <w:szCs w:val="27"/>
        </w:rPr>
        <w:t>2018年8月14日</w:t>
      </w:r>
    </w:p>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Pr>
        <w:pStyle w:val="3"/>
        <w:jc w:val="center"/>
        <w:rPr>
          <w:sz w:val="30"/>
          <w:szCs w:val="30"/>
        </w:rPr>
      </w:pPr>
      <w:bookmarkStart w:id="46" w:name="_Toc12864206"/>
      <w:r w:rsidRPr="008B1372">
        <w:rPr>
          <w:rFonts w:hint="eastAsia"/>
          <w:sz w:val="30"/>
          <w:szCs w:val="30"/>
        </w:rPr>
        <w:lastRenderedPageBreak/>
        <w:t>财政部</w:t>
      </w:r>
      <w:r w:rsidRPr="008B1372">
        <w:rPr>
          <w:rFonts w:hint="eastAsia"/>
          <w:sz w:val="30"/>
          <w:szCs w:val="30"/>
        </w:rPr>
        <w:t xml:space="preserve"> </w:t>
      </w:r>
      <w:r w:rsidRPr="008B1372">
        <w:rPr>
          <w:rFonts w:hint="eastAsia"/>
          <w:sz w:val="30"/>
          <w:szCs w:val="30"/>
        </w:rPr>
        <w:t>人民银行</w:t>
      </w:r>
      <w:r w:rsidRPr="008B1372">
        <w:rPr>
          <w:rFonts w:hint="eastAsia"/>
          <w:sz w:val="30"/>
          <w:szCs w:val="30"/>
        </w:rPr>
        <w:t xml:space="preserve"> </w:t>
      </w:r>
      <w:r w:rsidRPr="008B1372">
        <w:rPr>
          <w:rFonts w:hint="eastAsia"/>
          <w:sz w:val="30"/>
          <w:szCs w:val="30"/>
        </w:rPr>
        <w:t>证监会关于规范开展政府和社会资本合作项目资产证券化有关事宜的通知（财金〔</w:t>
      </w:r>
      <w:r w:rsidRPr="008B1372">
        <w:rPr>
          <w:rFonts w:hint="eastAsia"/>
          <w:sz w:val="30"/>
          <w:szCs w:val="30"/>
        </w:rPr>
        <w:t>2017</w:t>
      </w:r>
      <w:r w:rsidRPr="008B1372">
        <w:rPr>
          <w:rFonts w:hint="eastAsia"/>
          <w:sz w:val="30"/>
          <w:szCs w:val="30"/>
        </w:rPr>
        <w:t>〕</w:t>
      </w:r>
      <w:r w:rsidRPr="008B1372">
        <w:rPr>
          <w:rFonts w:hint="eastAsia"/>
          <w:sz w:val="30"/>
          <w:szCs w:val="30"/>
        </w:rPr>
        <w:t>55</w:t>
      </w:r>
      <w:r w:rsidRPr="008B1372">
        <w:rPr>
          <w:rFonts w:hint="eastAsia"/>
          <w:sz w:val="30"/>
          <w:szCs w:val="30"/>
        </w:rPr>
        <w:t>号）</w:t>
      </w:r>
      <w:bookmarkEnd w:id="46"/>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各省、自治区、直辖市、计划单列市财政厅（局），新疆生产建设兵团财务局，中国人民银行上海总部、各分行、营业管理部、各省会（首府）城市中心支行，中国证监会各派出机构，中国银行间市场交易商协会，上海证券交易所、深圳证券交易所，中国证券业协会，中国证券投资基金业协会：</w:t>
      </w:r>
    </w:p>
    <w:p w:rsidR="008B1372" w:rsidRPr="008B1372" w:rsidRDefault="008B1372" w:rsidP="008B1372">
      <w:pPr>
        <w:widowControl/>
        <w:shd w:val="clear" w:color="auto" w:fill="FFFFFF"/>
        <w:spacing w:line="480" w:lineRule="auto"/>
        <w:jc w:val="left"/>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为贯彻落实《国务院办公厅转发财政部 发展改革委 人民银行关于在公共服务领域推广政府和社会资本合作模式指导意见的通知》（国办发〔2015〕42号），规范推进政府和社会资本合作（以下简称PPP）项目资产证券化工作，现就有关事宜通知如下：</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一、分类稳妥地推动PPP项目资产证券化</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一）鼓励项目公司开展资产证券化优化融资安排。在项目运营阶段，项目公司作为发起人（原始权益人），可以按照使用者付费、政府付费、可行性缺口补助等不同类型，以能够给项目带来现金流的收益权、合同债权作为基础资产，发行资产证券化产品。项目公司应统筹融资需求、项目收益等因素，合理确定资产证券化产品发行规模和期限，着力降低综合融资成本。积极探索项目公司在项目建设期依托PPP合同约定的未来收益权，发行资产证券化产品，进一步拓宽项目融资渠道。</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（二）探索项目公司股东开展资产证券化盘活存量资产。除PPP合同对项目公司股东的股权转让质押等权利有限制性约定外，在项目建成运营2年后，项目公司的股东可以以能够带来现金流的股权作为基础</w:t>
      </w:r>
      <w:r w:rsidRPr="008B1372">
        <w:rPr>
          <w:rFonts w:ascii="微软雅黑" w:eastAsia="微软雅黑" w:hAnsi="微软雅黑" w:cs="宋体"/>
          <w:color w:val="333333"/>
          <w:kern w:val="0"/>
          <w:sz w:val="27"/>
          <w:szCs w:val="27"/>
        </w:rPr>
        <w:lastRenderedPageBreak/>
        <w:t>资产，发行资产证券化产品，盘活存量股权资产，提高资产流动性。其中，控股股东发行规模不得超过股权带来现金流现值的50%，其他股东发行规模不得超过股权带来现金流现值的70%。</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三）支持项目公司其他相关主体开展资产证券化。在项目运营阶段，为项目公司提供融资支持的各类债权人，以及为项目公司提供建设支持的承包商等企业作为发起人（原始权益人），可以合同债权、收益权等作为基础资产，按监管规定发行资产证券化产品，盘活存量资产，多渠道筹集资金，支持PPP项目建设实施。</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二、严格筛选开展资产证券化的PPP项目</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四）开展资产证券化的PPP项目应当运作规范、权属清晰。项目实施方案科学、合同体系完备、运作模式成熟、风险分配合理，并通过物有所值评价和财政承受能力论证。项目公司预期产生的现金流，能够覆盖项目的融资利息和股东的投资收益。拟作为基础资产的项目收益权、股权和合同债权等权属独立清晰，没有为其他融资提供质押或担保。</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五）发起人（原始权益人）应当分别符合相关要求。项目公司作为发起人（原始权益人）的，应当已落实融资方案，前期融资实际到账。项目公司、项目公司的股东作为发起人（原始权益人）申请通过发行主管部门绿色通道受理的，项目还应当成功运营2年以上，发起人（原始权益人）信用稳健，最近三年未发生重大违约或虚假信息披露，无不良信用记录。</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三、完善PPP项目资产证券化工作程序</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lastRenderedPageBreak/>
        <w:t xml:space="preserve">　　（六）依据合同约定自主开展资产证券化。政府方和社会资本方应在PPP合同中，通过适当的方式约定相关各方的资产证券化权利和义务，发起人（原始权益人）可按照合同约定自主决定开展资产证券化，向发行主管部门提交发行申请。PPP项目相关各方应按合同约定，配合接受尽职调查，提供相关材料，协助开展资产证券化产品的方案设计和信用评级等工作。</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七）择优筛选PPP项目开展资产证券化。优先支持水务、环境保护、交通运输等市场化程度较高、公共服务需求稳定、现金流可预测性较强的行业开展资产证券化。优先支持政府偿付能力较好、信用水平较高，并严格履行PPP项目财政管理要求的地区开展资产证券化。重点支持符合雄安新区和京津冀协同发展、“一带一路”、长江经济带等国家战略的PPP项目开展资产证券化。鼓励作为项目公司控股股东的行业龙头企业开展资产证券化，盘活存量项目资产，提高公共服务供给能力。</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八）择优推荐PPP项目资产证券化。省级财政部门可会同行业主管部门择优推荐资产证券化项目。PPP项目资产证券化发起人（原始权益人）可在向发行主管部门提交申请前，自主向省级财政部门和行业主管部门提出推荐申请。申请材料包括但不限于PPP项目实施方案、PPP合同、物有所值评价报告和财政承受能力论证报告、项目运营年报，以及项目资产证券化方案说明书、交易结构图、法律意见书等。省级财政部门可会同行业主管部门，按照有关监管规定和本通知要求，出具推荐意见并抄报财政部。</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lastRenderedPageBreak/>
        <w:t xml:space="preserve">　　（九）进一步优化PPP项目资产证券化审核程序。发行主管部门应根据资产证券化业务规定，对申报的PPP项目进行审核和监管。对于各省级财政部门推荐的项目和中国政企合作支持基金投资的项目，中国银行间市场交易商协会、证券交易所、中国证券投资基金业协会等单位要研究建立受理、审核及备案的绿色通道，专人专岗负责，提高注册、备案、审核、发行和挂牌的工作效率。要根据PPP项目证券化开展情况，进一步完善资产证券化制度体系，指导有关单位研究完善自律规则及负面清单。</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四、着力加强PPP项目资产证券化监督管理</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十）切实做好风险隔离安排。PPP项目资产证券化的发起人（原始权益人），要严格按照资产证券化规则与相关方案、合同约定，合理设计资产证券化产品的发行交易结构，通过特殊目的载体（SPV）和必要的增信措施，坚持真实出售、破产隔离原则，在基础资产与发起人（原始权益人）资产之间做好风险隔离。发起人（原始权益人）要配合中介机构履行基础资产移交、现金流归集、信息披露、提供增信措施等相关义务，不得通过资产证券化改变控股股东对PPP项目公司的实际控制权和项目运营责任，实现变相“退出”，影响公共服务供给的持续性和稳定性。资产证券化产品如出现偿付困难，发起人（原始权益人）应按照资产证券化合同约定与投资人妥善解决，发起人（原始权益人）不承担约定以外的连带偿付责任。</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（十一）合理分担资产证券化的成本收益。PPP项目公司资产证券化的发行成本应当由项目公司按照合同约定承担，不得将发行成本转嫁</w:t>
      </w:r>
      <w:r w:rsidRPr="008B1372">
        <w:rPr>
          <w:rFonts w:ascii="微软雅黑" w:eastAsia="微软雅黑" w:hAnsi="微软雅黑" w:cs="宋体"/>
          <w:color w:val="333333"/>
          <w:kern w:val="0"/>
          <w:sz w:val="27"/>
          <w:szCs w:val="27"/>
        </w:rPr>
        <w:lastRenderedPageBreak/>
        <w:t>给政府和社会资本方。鼓励PPP项目公司及其股东通过加强日常运营维护管理或者提供合理支持，为基础资产产生预期现金流提供必要的保障，PPP项目公司及其股东可综合采取担保、持有次级等多种方式进行增信，避免单一增信方式增加对项目公司或股东的负担。PPP项目公司通过发行资产证券化产品优化负债结构的，节省综合融资成本带来的超额收益，应按照合同约定进行分配。</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十二）切实防范刚性兑付风险。PPP项目所在地财政部门要会同行业主管部门加强项目全生命周期的合同履约管理，以PPP合同约定的支付责任为限，严格按照项目绩效评价结果进行支付（含使用者付费项目），保障社会资本方获得合理回报。资产证券化产品的偿付责任，由特殊目的载体（SPV）以其持有的基础资产和增信安排承担，不得将资产证券化产品的偿付责任转嫁给政府或公众，并影响公共服务的持续稳定供给。</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十三）充分披露资产证券化相关信息。金融机构、中介服务机构等应做好尽职调查，确保PPP项目资产证券化业务符合相关政策要求。PPP项目资产证券化的发起人（原始权益人）、管理人及其他信息披露义务人应当严格按照资产证券化业务相关规定，在PPP综合信息平台以及市场认可的信息披露网站，披露项目实施信息、资产证券化年度管理报告、收益分配报告等信息，确保项目实施和资产证券化业务公开透明、有序实施，接受社会和市场监督。</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（十四）大力营造良好发展环境。建立多元化、可持续的资金保障机制，推动不动产投资信托基金（REITs）发展，鼓励各类市场资金投</w:t>
      </w:r>
      <w:r w:rsidRPr="008B1372">
        <w:rPr>
          <w:rFonts w:ascii="微软雅黑" w:eastAsia="微软雅黑" w:hAnsi="微软雅黑" w:cs="宋体"/>
          <w:color w:val="333333"/>
          <w:kern w:val="0"/>
          <w:sz w:val="27"/>
          <w:szCs w:val="27"/>
        </w:rPr>
        <w:lastRenderedPageBreak/>
        <w:t>资PPP项目资产证券化产品。加大PPP项目资产证券化政策宣传培训力度，提高各方资产证券化业务操作能力。财政部、中国人民银行、中国证监会建立完善PPP项目资产证券化协同管理机制，加强沟通合作，实现PPP项目实施和风险监测信息共享。省级财政部门和中国人民银行、中国证监会当地派出机构要高度重视，认真组织实施，切实做好PPP项目资产证券化相关工作，推动PPP项目资产证券化持续健康发展。</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w:t>
      </w:r>
    </w:p>
    <w:p w:rsidR="008B1372" w:rsidRPr="008B1372" w:rsidRDefault="008B1372" w:rsidP="008B1372">
      <w:pPr>
        <w:widowControl/>
        <w:shd w:val="clear" w:color="auto" w:fill="FFFFFF"/>
        <w:spacing w:line="480" w:lineRule="auto"/>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w:t>
      </w:r>
    </w:p>
    <w:p w:rsidR="008B1372" w:rsidRPr="008B1372" w:rsidRDefault="008B1372" w:rsidP="008B1372">
      <w:pPr>
        <w:widowControl/>
        <w:shd w:val="clear" w:color="auto" w:fill="FFFFFF"/>
        <w:spacing w:line="480" w:lineRule="auto"/>
        <w:jc w:val="right"/>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财政部　中国人民银行 中国证监会</w:t>
      </w:r>
    </w:p>
    <w:p w:rsidR="008B1372" w:rsidRPr="008B1372" w:rsidRDefault="008B1372" w:rsidP="008B1372">
      <w:pPr>
        <w:widowControl/>
        <w:shd w:val="clear" w:color="auto" w:fill="FFFFFF"/>
        <w:spacing w:line="480" w:lineRule="auto"/>
        <w:jc w:val="right"/>
        <w:rPr>
          <w:rFonts w:ascii="微软雅黑" w:eastAsia="微软雅黑" w:hAnsi="微软雅黑" w:cs="宋体"/>
          <w:color w:val="333333"/>
          <w:kern w:val="0"/>
          <w:sz w:val="27"/>
          <w:szCs w:val="27"/>
        </w:rPr>
      </w:pPr>
      <w:r w:rsidRPr="008B1372">
        <w:rPr>
          <w:rFonts w:ascii="微软雅黑" w:eastAsia="微软雅黑" w:hAnsi="微软雅黑" w:cs="宋体"/>
          <w:color w:val="333333"/>
          <w:kern w:val="0"/>
          <w:sz w:val="27"/>
          <w:szCs w:val="27"/>
        </w:rPr>
        <w:t xml:space="preserve">　　　　 2017年6月7日</w:t>
      </w:r>
    </w:p>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8B1372"/>
    <w:p w:rsidR="008B1372" w:rsidRDefault="008B1372" w:rsidP="00EB03EB">
      <w:pPr>
        <w:pStyle w:val="3"/>
        <w:jc w:val="center"/>
        <w:rPr>
          <w:sz w:val="30"/>
          <w:szCs w:val="30"/>
        </w:rPr>
      </w:pPr>
      <w:bookmarkStart w:id="47" w:name="_Toc12864207"/>
      <w:r w:rsidRPr="00EB03EB">
        <w:rPr>
          <w:rFonts w:hint="eastAsia"/>
          <w:sz w:val="30"/>
          <w:szCs w:val="30"/>
        </w:rPr>
        <w:lastRenderedPageBreak/>
        <w:t>关于试点发展项目收益与融资自求平衡的地方政府专项债券品种的通知（财预〔</w:t>
      </w:r>
      <w:r w:rsidRPr="00EB03EB">
        <w:rPr>
          <w:rFonts w:hint="eastAsia"/>
          <w:sz w:val="30"/>
          <w:szCs w:val="30"/>
        </w:rPr>
        <w:t>2017</w:t>
      </w:r>
      <w:r w:rsidRPr="00EB03EB">
        <w:rPr>
          <w:rFonts w:hint="eastAsia"/>
          <w:sz w:val="30"/>
          <w:szCs w:val="30"/>
        </w:rPr>
        <w:t>〕</w:t>
      </w:r>
      <w:r w:rsidRPr="00EB03EB">
        <w:rPr>
          <w:rFonts w:hint="eastAsia"/>
          <w:sz w:val="30"/>
          <w:szCs w:val="30"/>
        </w:rPr>
        <w:t>89</w:t>
      </w:r>
      <w:r w:rsidRPr="00EB03EB">
        <w:rPr>
          <w:rFonts w:hint="eastAsia"/>
          <w:sz w:val="30"/>
          <w:szCs w:val="30"/>
        </w:rPr>
        <w:t>号）</w:t>
      </w:r>
      <w:bookmarkEnd w:id="47"/>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各省、自治区、直辖市、计划单列市财政厅（局）：</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为落实《中华人民共和国预算法》和《国务院关于加强地方政府性债务管理的意见》（国发〔2014〕43号）精神，健全规范的地方政府举债融资机制，经十二届全国人大五次会议审议批准，完善地方政府专项债券（以下简称专项债券）管理，加快按照地方政府性基金收入项目分类发行专项债券步伐，发挥政府规范举债促进经济社会发展的积极作用。现将有关事项通知如下：</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一、政策目标</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坚持以推进供给侧结构性改革为主线，围绕健全规范的地方政府举债融资机制，依法完善专项债券管理，指导地方按照本地区政府性基金收入项目分类发行专项债券，着力发展实现项目收益与融资自求平衡的专项债券品种，加快建立专项债券与项目资产、收益相对应的制度，打造立足我国国情、从我国实际出发的地方政府“市政项目收益债”，防范化解地方政府专项债务风险，深化财政与金融互动，引导社会资本加大投入，保障重点领域合理融资需求，更好地发挥专项债券对地方稳增长、促改革、调结构、惠民生、防风险的支持作用。</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二、主要内容</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（一）依法安排专项债券规模。</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严格执行法定限额管理，地方政府专项债务余额不得突破专项债务限额。各地试点分类发行专项债券的规模，应当在国务院批准的本</w:t>
      </w:r>
      <w:r w:rsidRPr="00EB03EB">
        <w:rPr>
          <w:rFonts w:ascii="微软雅黑" w:eastAsia="微软雅黑" w:hAnsi="微软雅黑" w:cs="宋体"/>
          <w:color w:val="333333"/>
          <w:kern w:val="0"/>
          <w:sz w:val="27"/>
          <w:szCs w:val="27"/>
        </w:rPr>
        <w:lastRenderedPageBreak/>
        <w:t>地区专项债务限额内统筹安排，包括当年新增专项债务限额、上年末专项债务余额低于限额的部分。</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（二）科学制定实施方案。</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各省、自治区、直辖市、计划单列市（以下简称省级）财政部门负责制定分类发行专项债券试点工作实施方案，重点明确专项债券对应的项目概况、项目预期收益和融资平衡方案、分年度融资计划、年度拟发行专项债券规模和期限、发行计划安排等事项。分类发行专项债券建设的项目，应当能够产生持续稳定的反映为政府性基金收入或专项收入的现金流收入，且现金流收入应当能够完全覆盖专项债券还本付息的规模。</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（三）加强部门协调配合。</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省级财政部门负责按照专项债务管理规定，审核确定分类发行专项债券实施方案和管理办法，组织做好信息披露、信用评级、资产评估等工作。行业主管部门、项目单位负责配合做好专项债券发行准备工作，包括制定项目收益和融资平衡方案、提供必需的项目信息等，合理评估分类发行专项债券对应项目风险，切实履行项目管理责任。</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（四）明确市县管理责任。</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市县级政府确需举借相关专项债务的，依法由省级政府代为分类发行专项债券、转贷市县使用。专项债券可以对应单一项目发行，也可以对应同一地区多个项目集合发行，具体由市县级财政部门会同有关部门提出建议，报省级财政部门确定。市县级政府及其部门负责承担专项债券的发行前期准备、使用管理、还本付息、信息公开等工作。相关</w:t>
      </w:r>
      <w:r w:rsidRPr="00EB03EB">
        <w:rPr>
          <w:rFonts w:ascii="微软雅黑" w:eastAsia="微软雅黑" w:hAnsi="微软雅黑" w:cs="宋体"/>
          <w:color w:val="333333"/>
          <w:kern w:val="0"/>
          <w:sz w:val="27"/>
          <w:szCs w:val="27"/>
        </w:rPr>
        <w:lastRenderedPageBreak/>
        <w:t>专项债券原则上冠以“××年××省、自治区、直辖市（本级或××市、县）××专项债券（×期）——×年××省、自治区、直辖市政府专项债券（×期）”名称。</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（五）推进债券信息公开。</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分类发行专项债券的地方政府应当及时披露专项债券及其项目信息。财政部门应当在门户网站等及时披露专项债券对应的项目概况、项目预期收益和融资平衡方案、专项债券规模和期限、发行计划安排、还本付息等信息。行业主管部门和项目单位应当及时披露项目进度、专项债券资金使用情况等信息。</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（六）强化对应资产管理。</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省级财政部门应当按照财政部统一要求同步组织建立专项债券对应资产的统计报告制度。地方各级财政部门应当会同行业主管部门、项目单位等加强专项债券项目对应资产管理，严禁将专项债券对应的资产用于为融资平台公司等企业融资提供任何形式的担保。</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（七）严格项目偿债责任。</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专项债券对应的项目取得的政府性基金或专项收入，应当按照该项目对应的专项债券余额统筹安排资金，专门用于偿还到期债券本金，不得通过其他项目对应的项目收益偿还到期债券本金。因项目取得的政府性基金或专项收入暂时难以实现，不能偿还到期债券本金时，可在专项债务限额内发行相关专项债券周转偿还，项目收入实现后予以归还。</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三、工作安排</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（一）选择重点领域先行试点。</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2017年优先选择土地储备、政府收费公路2个领域在全国范围内开展试点。鼓励有条件的地方立足本地区实际，围绕省（自治区、直辖市）党委、政府确定的重大战略，积极探索在有一定收益的公益性事业领域分类发行专项债券，以对应的政府性基金或专项收入偿还，项目成熟一个、推进一个。</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（二）明确管理程序和时间安排。</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各地在国务院批准的专项债务限额内发行土地储备、政府收费公路专项债券的，按照财政部下达的额度及制定的统一办法执行。除土地储备、收费公路额度外，各地利用新增专项债务限额，以及利用上年末专项债务限额大于余额的部分自行选择重点项目试点分类发行专项债券的，由省级政府制定实施方案以及专项债券管理办法，提前报财政部备案后组织实施。为加快支出进度，实施方案应当于每年9月底前提交财政部。</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试点发展项目收益与融资自求平衡的地方政府专项债券品种，是专项债务限额内依法开好“前门”、保障重点领域合理融资需求、支持地方经济社会可持续发展的重要管理创新，也有利于遏制违法违规融资担保行为、防范地方政府债务风险，机制新、任务重、工作量大。请你省（自治区、直辖市、计划单列市）高度重视，将其作为贯彻落实党中央、国务院精神，防控政府债务风险的重要工作，加强组织协调，充实人员配备，狠抓贯彻落实，确保工作取得实效。</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特此通知。</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附件：1.实施方案参考框架；</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2.××专项债券募集资金管理办法参考框架</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财 政 部</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2017年6月2日</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附件1：</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实施方案参考框架</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包括但不限于以下内容：</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一、公益性事业领域项目（以下简称项目）主要内容；</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二、项目重大经济社会效益分析，尤其是积极践行“创新、协调、绿色、开放、共享”新发展理念，促进地方经济社会可持续发展分析；</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三、项目投资额、自有资本金及资本金到位情况、已有融资情况、项目建设计划及现状；</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四、项目预期收益涉及的相关收费政策内容、收费政策合法合规依据、覆盖群体分布、预计产生反映为政府性基金收入或专项收入的稳定现金流收益规模分析（应当由独立第三方专业机构进行评估，并出具专项评估意见）；</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五、项目预期收益、支出以及融资平衡情况（应当由独立第三方专业机构进行评估，并出具专项评估意见）；</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六、项目融资计划，包括项目发行地方政府专项债券募集资金计划、分年专项债券发行规模和期限安排、专项债券投资者保护措施；</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七、潜在影响项目收益和融资平衡结果的各种风险评估；</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八、其他需要说明的事项。</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附件2：</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××专项债券募集资金管理办法参考框架</w:t>
      </w:r>
    </w:p>
    <w:p w:rsidR="00EB03EB" w:rsidRPr="00EB03EB" w:rsidRDefault="00EB03EB" w:rsidP="00EB03EB">
      <w:pPr>
        <w:widowControl/>
        <w:shd w:val="clear" w:color="auto" w:fill="FFFFFF"/>
        <w:ind w:firstLine="480"/>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应当根据项目实施方案，参考《地方政府专项债务预算管理办法》（财预〔2016〕155号）、《地方政府土地储备专项债券管理办法（试行）》（财预〔2017〕62号）等制定。主要包括但不限于总则、预算编制、监督管理、职能分工、附则等内容。</w:t>
      </w:r>
    </w:p>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Pr>
        <w:pStyle w:val="3"/>
        <w:jc w:val="center"/>
        <w:rPr>
          <w:sz w:val="30"/>
          <w:szCs w:val="30"/>
        </w:rPr>
      </w:pPr>
      <w:bookmarkStart w:id="48" w:name="_Toc12864208"/>
      <w:r w:rsidRPr="00EB03EB">
        <w:rPr>
          <w:rFonts w:hint="eastAsia"/>
          <w:sz w:val="30"/>
          <w:szCs w:val="30"/>
        </w:rPr>
        <w:lastRenderedPageBreak/>
        <w:t>财政部关于实施政府和社会资本合作项目以奖代补政策的通知（财金〔</w:t>
      </w:r>
      <w:r w:rsidRPr="00EB03EB">
        <w:rPr>
          <w:rFonts w:hint="eastAsia"/>
          <w:sz w:val="30"/>
          <w:szCs w:val="30"/>
        </w:rPr>
        <w:t>2015</w:t>
      </w:r>
      <w:r w:rsidRPr="00EB03EB">
        <w:rPr>
          <w:rFonts w:hint="eastAsia"/>
          <w:sz w:val="30"/>
          <w:szCs w:val="30"/>
        </w:rPr>
        <w:t>〕</w:t>
      </w:r>
      <w:r w:rsidRPr="00EB03EB">
        <w:rPr>
          <w:rFonts w:hint="eastAsia"/>
          <w:sz w:val="30"/>
          <w:szCs w:val="30"/>
        </w:rPr>
        <w:t>158</w:t>
      </w:r>
      <w:r w:rsidRPr="00EB03EB">
        <w:rPr>
          <w:rFonts w:hint="eastAsia"/>
          <w:sz w:val="30"/>
          <w:szCs w:val="30"/>
        </w:rPr>
        <w:t>号）</w:t>
      </w:r>
      <w:bookmarkEnd w:id="48"/>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各省、自治区、直辖市、计划单列市财政厅（局），新疆生产建设兵团财务局：</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为贯彻落实《国务院办公厅转发财政部 发展改革委 人民银行关于在公共服务领域推广政府和社会资本合作模式指导意见的通知》（国办发〔2015〕42号）有关精神，通过以奖代补方式支持政府和社会资本合作（PPP）项目规范运作，保障PPP项目实施质量，现通知如下：</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一、PPP项目以奖代补政策旨在支持和推动中央财政PPP示范项目加快实施进度，提高项目操作的规范性，保障项目实施质量。同时，引导和鼓励地方融资平台公司存量公共服务项目转型为PPP项目，化解地方政府存量债务。</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一）对中央财政PPP示范项目中的新建项目，财政部将在项目完成采购确定社会资本合作方后，按照项目投资规模给予一定奖励。其中，投资规模3亿元以下的项目奖励300万元，3亿元（含3亿元）至10亿元的项目奖励500万元，10亿元以上（含10亿元）的项目奖励800万元。奖励资金由财政部门统筹用于项目全生命周期过程中的各项财政支出，主要包括项目前期费用补助、运营补贴等。</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（二）对符合条件、规范实施的转型为PPP项目的地方融资平台公司存量项目，财政部将在择优评选后，按照项目转型实际化解地方政</w:t>
      </w:r>
      <w:r w:rsidRPr="00EB03EB">
        <w:rPr>
          <w:rFonts w:ascii="微软雅黑" w:eastAsia="微软雅黑" w:hAnsi="微软雅黑" w:cs="宋体" w:hint="eastAsia"/>
          <w:color w:val="333333"/>
          <w:kern w:val="0"/>
          <w:sz w:val="27"/>
          <w:szCs w:val="27"/>
        </w:rPr>
        <w:lastRenderedPageBreak/>
        <w:t>府存量债务规模的2%给予奖励，奖励资金纳入相关融资平台公司收入统一核算。享受奖励资金支持的存量项目，其地方政府存量债务应通过合同条款明确地转移至项目公司或社会资本合作方，化债安排可行、交易成本合理、社会资本收益适度。中央财政PPP示范项目中的存量项目，优先享受奖励资金支持。</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二、PPP项目以奖代补工作遵循依法合规、公开透明、政府引导、管理到位的原则。</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（一）依法合规，是指PPP项目运作要严格遵守相关法律法规和政策制度，切实做到周密部署、有序规划、科学决策、规范实施。</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（二）公开透明，是指PPP项目和以奖代补资金均实行阳光化运作，依法充分披露重要信息，对相关各方形成有效监督和约束。</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（三）政府引导，是指财政部通过实施以奖代补政策，促进示范项目规范运作，鼓励地方融资平台公司加大存量项目转型力度。</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（四）管理到位，是指财政部门规范以奖代补资金管理，严格审核，及时拨付，加强监督检查，保证资金安全和政策实施效果。</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三、财政部根据全国PPP工作进展情况、项目实施情况和规定的奖励标准，按年确定PPP项目以奖代补工作计划，在普惠金融发展专项资金中安排以奖代补资金，列入下一年度中央财政预算。以奖代补资金原则上在预算安排额度内据实列支。</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lastRenderedPageBreak/>
        <w:t xml:space="preserve">　　四、示范项目和地方融资平台公司转型项目所在地财政部门按年向省级财政部门报送以奖代补资金申请书及相关材料。省级财政部门将辖内以奖代补资金申请材料审核汇总后，报送财政部及财政部驻当地财政监察专员办事处（以下简称专员办）。专员办对省级财政部门报送的以奖代补资金申请材料进行审核，按规定出具审核意见报送财政部。财政部结合专员办审核意见，对省级财政部门报送的项目进行审核评选后，按规定向省级财政部门拨付奖励资金。省级财政部门收到财政部拨付的奖励资金后，及时将奖励资金予以转拨，并编制奖励资金的审核、拨付和使用情况报告，经专员办审核后报财政部备案。</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五、享受以奖代补政策支持的PPP项目，必须严格执行国务院和财政部等部门出台的一系列制度文件，切实保障项目选择的适当性、交易结构的合理性、合作伙伴选择的竞争性、财政承受能力的中长期可持续性和项目实施的公开性，确保项目实施质量。不符合示范项目要求被调出示范项目名单的项目，不享受以奖代补政策支持。已经在其他中央财政专项资金中获得奖励性资金支持的PPP项目，不再纳入以奖代补政策奖励范围。</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六、地方财政部门要对辖内PPP项目以奖代补资金的申请工作进行指导，做好奖励资金审核拨付的组织和协调工作。会同有关部门对奖励资金审核拨付工作进行检查，对检查中发现的问题及时处理和反映，保证以奖代补政策落到实处。</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lastRenderedPageBreak/>
        <w:t xml:space="preserve">　　七、对以奖代补政策支持的PPP项目，有关省级财政部门要切实履行财政职能，因地制宜、主动作为，会同项目实施单位和有关部门，为项目的规范实施创造良好环境。积极推动项目加快实施进度，确保项目规范实施、按期落地，形成一批管理水平高、化债效果好、产出结果优、示范效应强的样板项目。</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八、专员办要对辖内申请以奖代补资金的PPP项目有关情况进行认真审核，确保项目规范运作，符合PPP相关制度要求。同时，要加强对奖励资金拨付、使用的监督检查，规范审核拨付程序，保证奖励资金专项使用。</w:t>
      </w:r>
    </w:p>
    <w:p w:rsidR="00EB03EB" w:rsidRPr="00EB03EB" w:rsidRDefault="00EB03EB" w:rsidP="00EB03EB">
      <w:pPr>
        <w:widowControl/>
        <w:shd w:val="clear" w:color="auto" w:fill="FFFFFF"/>
        <w:wordWrap w:val="0"/>
        <w:spacing w:after="225"/>
        <w:jc w:val="lef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 xml:space="preserve">　　九、PPP项目以奖代补政策自2016年起施行，执行期限暂定3年。</w:t>
      </w:r>
    </w:p>
    <w:p w:rsidR="00EB03EB" w:rsidRPr="00EB03EB" w:rsidRDefault="00EB03EB" w:rsidP="00EB03EB">
      <w:pPr>
        <w:widowControl/>
        <w:shd w:val="clear" w:color="auto" w:fill="FFFFFF"/>
        <w:wordWrap w:val="0"/>
        <w:spacing w:after="225"/>
        <w:jc w:val="righ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财政部   </w:t>
      </w:r>
    </w:p>
    <w:p w:rsidR="00EB03EB" w:rsidRPr="00EB03EB" w:rsidRDefault="00EB03EB" w:rsidP="00EB03EB">
      <w:pPr>
        <w:widowControl/>
        <w:shd w:val="clear" w:color="auto" w:fill="FFFFFF"/>
        <w:wordWrap w:val="0"/>
        <w:spacing w:after="225"/>
        <w:jc w:val="right"/>
        <w:rPr>
          <w:rFonts w:ascii="微软雅黑" w:eastAsia="微软雅黑" w:hAnsi="微软雅黑" w:cs="宋体"/>
          <w:color w:val="333333"/>
          <w:kern w:val="0"/>
          <w:sz w:val="27"/>
          <w:szCs w:val="27"/>
        </w:rPr>
      </w:pPr>
      <w:r w:rsidRPr="00EB03EB">
        <w:rPr>
          <w:rFonts w:ascii="微软雅黑" w:eastAsia="微软雅黑" w:hAnsi="微软雅黑" w:cs="宋体" w:hint="eastAsia"/>
          <w:color w:val="333333"/>
          <w:kern w:val="0"/>
          <w:sz w:val="27"/>
          <w:szCs w:val="27"/>
        </w:rPr>
        <w:t>2015年12月8日</w:t>
      </w:r>
    </w:p>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Pr>
        <w:pStyle w:val="3"/>
        <w:jc w:val="center"/>
        <w:rPr>
          <w:sz w:val="30"/>
          <w:szCs w:val="30"/>
        </w:rPr>
      </w:pPr>
      <w:bookmarkStart w:id="49" w:name="_Toc12864209"/>
      <w:r w:rsidRPr="00EB03EB">
        <w:rPr>
          <w:rFonts w:hint="eastAsia"/>
          <w:sz w:val="30"/>
          <w:szCs w:val="30"/>
        </w:rPr>
        <w:lastRenderedPageBreak/>
        <w:t>关于印发《地方政府专项债券发行管理暂行办法》的通知（财库〔</w:t>
      </w:r>
      <w:r w:rsidRPr="00EB03EB">
        <w:rPr>
          <w:rFonts w:hint="eastAsia"/>
          <w:sz w:val="30"/>
          <w:szCs w:val="30"/>
        </w:rPr>
        <w:t>2015</w:t>
      </w:r>
      <w:r w:rsidRPr="00EB03EB">
        <w:rPr>
          <w:rFonts w:hint="eastAsia"/>
          <w:sz w:val="30"/>
          <w:szCs w:val="30"/>
        </w:rPr>
        <w:t>〕</w:t>
      </w:r>
      <w:r w:rsidRPr="00EB03EB">
        <w:rPr>
          <w:rFonts w:hint="eastAsia"/>
          <w:sz w:val="30"/>
          <w:szCs w:val="30"/>
        </w:rPr>
        <w:t>83</w:t>
      </w:r>
      <w:r w:rsidRPr="00EB03EB">
        <w:rPr>
          <w:rFonts w:hint="eastAsia"/>
          <w:sz w:val="30"/>
          <w:szCs w:val="30"/>
        </w:rPr>
        <w:t>号）</w:t>
      </w:r>
      <w:bookmarkEnd w:id="49"/>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各省、自治区、直辖市、计划单列市财政厅（局、委）：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为加强地方政府债务管理，规范地方政府专项债券发行行为，保护投资者等合法权益，根据《预算法》、《国务院关于加强地方政府性债务管理的意见》（国发〔2014〕43号）和《财政部关于印发〈2015年地方政府专项债券预算管理办法〉的通知》（财预〔2015〕32号），我们制定了《地方政府专项债券发行管理暂行办法》。现印发给你们，请遵照执行。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财政部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w:t>
      </w:r>
      <w:r>
        <w:rPr>
          <w:rFonts w:ascii="微软雅黑" w:eastAsia="微软雅黑" w:hAnsi="微软雅黑" w:cs="宋体"/>
          <w:color w:val="333333"/>
          <w:kern w:val="0"/>
          <w:sz w:val="27"/>
          <w:szCs w:val="27"/>
        </w:rPr>
        <w:t>                            </w:t>
      </w:r>
      <w:r w:rsidRPr="00EB03EB">
        <w:rPr>
          <w:rFonts w:ascii="微软雅黑" w:eastAsia="微软雅黑" w:hAnsi="微软雅黑" w:cs="宋体"/>
          <w:color w:val="333333"/>
          <w:kern w:val="0"/>
          <w:sz w:val="27"/>
          <w:szCs w:val="27"/>
        </w:rPr>
        <w:t xml:space="preserve">　2015年4月2日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附件：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w:t>
      </w:r>
    </w:p>
    <w:p w:rsidR="00EB03EB" w:rsidRPr="00EB03EB" w:rsidRDefault="00EB03EB" w:rsidP="00EB03EB">
      <w:pPr>
        <w:widowControl/>
        <w:spacing w:before="100" w:beforeAutospacing="1" w:after="100" w:afterAutospacing="1"/>
        <w:jc w:val="center"/>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地方政府专项债券发行管理暂行办法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第一条 为加强地方政府债务管理，规范地方政府专项债券发行行为，保护投资者等合法权益，根据《预算法》、《国务院关于加强地方政府性债务管理的意见》（国发〔2014〕43号）和国家有关规定，制定本办法。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第二条 地方政府专项债券（以下简称专项债券）是指省、自治区、直辖市政府（含经省级政府批准自办债券发行的计划单列市政府）为有一定收益的公益性项目发行的、约定一定期限内以公益性项目对应的政府性基金或专项收入还本付息的政府债券。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第三条 专项债券采用记账式固定利率附息形式。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第四条 单只专项债券应当以单项政府性基金或专项收入为偿债来源。单只专项债券可以对应单一项目发行，也可以对应多个项目集合发行。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第五条 专项债券期限为1年、2年、3年、5年、7年和10年，由各地综合考虑项目建设、运营、回收周期和债券市场状况等合理确定，但7年和10年期债券的合计发行规模不得超过专项债券全年发行规模的50%。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第六条 专项债券由各地按照市场化原则自发自还，遵循公开、公平、公正的原则，发行和偿还主体为地方政府。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第七条 各地按照有关规定开展专项债券信用评级，择优选择信用评级机构，与信用评级机构签署信用评级协议，明确双方权利和义务。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第八条 信用评级机构按照独立、客观、公正的原则开展信用评级工作，遵守信用评级规定与业务规范，及时发布信用评级报告。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第九条 各地应当按照有关规定及时披露专项债券基本信息、财政经济运行及相关债务情况、募投项目及对应的政府性基金或专项收入情况、风险揭示以及对投资者做出购买决策有重大影响的其他信息。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第十条 专项债券存续期内，各地应按有关规定持续披露募投项目情况、募集资金使用情况、对应的政府性基金或专项收入情况以及可能影响专项债券偿还能力的重大事项等。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第十一条 信息披露遵循诚实信用原则，不得有虚假记载、误导性陈述或重大遗漏。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投资者对披露信息进行独立分析，独立判断专项债券的投资价值，自行承担投资风险。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第十二条 各地组建专项债券承销团，承销团成员应当是在中国境内依法成立的金融机构，具有债券承销业务资格，资本充足率、偿付能力或者净资本状况等指标达到监管标准。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第十三条 地方政府财政部门与专项债券承销商签署债券承销协议，明确双方权利和义务。承销商可以书面委托其分支机构代理签署并履行债券承销协议。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第十四条 各地可以在专项债券承销商中择优选择主承销商，主承销商为专项债券提供发行定价、登记托管、上市交易等咨询服务。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第十五条 专项债券发行利率采用承销、招标等方式确定。采用承销或招标方式的，发行利率在承销或招标日前1至5个工作日相同待偿期记账式国债的平均收益率之上确定。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承销是指地方政府与主承销商商定债券承销利率（或利率区间），要求各承销商（包括主承销商）在规定时间报送债券承销额（或承销利率及承销额），按市场化原则确定债券发行利率及各承销商债券承销额的发债机制。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招标是指地方政府通过财政部国债发行招投标系统或其他电子招标系统，要求各承销商在规定时间报送债券投标额及投标利率，按利率从低到高原则确定债券发行利率及各承销商债券中标额的发债机制。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第十六条 各地采用承销方式发行专项债券时，应与主承销商协商确定承销规则，明确承销方式和募集原则等。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各地采用招标方式发行专项债券时，应制定招标规则，明确招标方式和中标原则等。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第十七条 各地应当加强发债定价现场管理，确保在发行定价和配售过程中，不得有违反公平竞争、进行利益输送、直接或间接谋取不正当利益以及其他破坏市场秩序的行为。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第十八条 各地应积极扩大专项债券投资者范围，鼓励社会保险基金、住房公积金、企业年金、职业年金、保险公司等机构投资者和个人投资者在符合法律法规等相关规定的前提下投资专项债券。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第十九条 各地应当在专项债券发行定价结束后，通过中国债券信息网和本地区门户网站等媒体，及时公布债券发行结果。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第二十条 专项债券应当在中央国债登记结算有限责任公司办理总登记托管，在国家规定的证券登记结算机构办理分登记托管。专项债券发行结束后，符合条件的应按有关规定及时在全国银行间债券市场、证券交易所债券市场等上市交易。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第二十一条 企业和个人取得的专项债券利息收入，按照《财政部 国家税务总局关于地方政府债券利息免征所得税问题的通知》（财税〔2013〕5号）规定，免征企业所得税和个人所得税。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第二十二条 各地应切实履行偿债责任，及时支付债券本息、发行费等资金，维护政府信誉。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第二十三条 登记结算机构、承销机构、信用评级机构等专业机构和人员应当勤勉尽责，严格遵守职业规范和相关规则。对弄虚作假、存在违法违规行为的，列入负面名单并向社会公示。涉嫌犯罪的，移送司法机关处理。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lastRenderedPageBreak/>
        <w:t xml:space="preserve">　　第二十四条 财政部驻各地财政监察专员办事处加强对专项债券的监督检查，规范专项债券的发行、资金使用和偿还等行为。 </w:t>
      </w:r>
    </w:p>
    <w:p w:rsidR="00EB03EB" w:rsidRPr="00EB03EB" w:rsidRDefault="00EB03EB" w:rsidP="00EB03EB">
      <w:pPr>
        <w:widowControl/>
        <w:spacing w:before="100" w:beforeAutospacing="1" w:after="100" w:afterAutospacing="1"/>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第二十五条 各地应当将本地区专项债券发行安排、信用评级、信息披露、承销团组建、发行兑付等有关规定及时报财政部备案。专项债券发行兑付过程中出现重大事项应当及时向财政部报告。专项债券每次发行工作完成后，应当在15个工作日内将债券发行情况向财政部及财政部驻当地财政监察专员办事处报告；全年发行工作完成后，应当在20个工作日内将年度发行情况向财政部及财政部驻当地财政监察专员办事处报告。 </w:t>
      </w:r>
    </w:p>
    <w:p w:rsidR="00EB03EB" w:rsidRPr="00EB03EB" w:rsidRDefault="00EB03EB" w:rsidP="00EB03EB">
      <w:pPr>
        <w:widowControl/>
        <w:jc w:val="left"/>
        <w:rPr>
          <w:rFonts w:ascii="微软雅黑" w:eastAsia="微软雅黑" w:hAnsi="微软雅黑" w:cs="宋体"/>
          <w:color w:val="333333"/>
          <w:kern w:val="0"/>
          <w:sz w:val="27"/>
          <w:szCs w:val="27"/>
        </w:rPr>
      </w:pPr>
      <w:r w:rsidRPr="00EB03EB">
        <w:rPr>
          <w:rFonts w:ascii="微软雅黑" w:eastAsia="微软雅黑" w:hAnsi="微软雅黑" w:cs="宋体"/>
          <w:color w:val="333333"/>
          <w:kern w:val="0"/>
          <w:sz w:val="27"/>
          <w:szCs w:val="27"/>
        </w:rPr>
        <w:t xml:space="preserve">　　第二十六条 本办法自印发之日起施行。</w:t>
      </w:r>
    </w:p>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Pr>
        <w:pStyle w:val="2"/>
        <w:jc w:val="center"/>
      </w:pPr>
      <w:bookmarkStart w:id="50" w:name="_Toc12864210"/>
      <w:r>
        <w:rPr>
          <w:rFonts w:hint="eastAsia"/>
        </w:rPr>
        <w:t>2</w:t>
      </w:r>
      <w:r>
        <w:rPr>
          <w:rFonts w:hint="eastAsia"/>
        </w:rPr>
        <w:t>、发改委文件</w:t>
      </w:r>
      <w:bookmarkEnd w:id="50"/>
    </w:p>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EB03EB" w:rsidP="00EB03EB"/>
    <w:p w:rsidR="00EB03EB" w:rsidRDefault="006340E4" w:rsidP="006340E4">
      <w:pPr>
        <w:pStyle w:val="3"/>
        <w:jc w:val="center"/>
        <w:rPr>
          <w:sz w:val="30"/>
          <w:szCs w:val="30"/>
        </w:rPr>
      </w:pPr>
      <w:bookmarkStart w:id="51" w:name="_Toc12864211"/>
      <w:r w:rsidRPr="006340E4">
        <w:rPr>
          <w:rFonts w:hint="eastAsia"/>
          <w:sz w:val="30"/>
          <w:szCs w:val="30"/>
        </w:rPr>
        <w:lastRenderedPageBreak/>
        <w:t>国家发展改革委办公厅关于印发《政府和社会资本合作（</w:t>
      </w:r>
      <w:r w:rsidRPr="006340E4">
        <w:rPr>
          <w:rFonts w:hint="eastAsia"/>
          <w:sz w:val="30"/>
          <w:szCs w:val="30"/>
        </w:rPr>
        <w:t>PPP</w:t>
      </w:r>
      <w:r w:rsidRPr="006340E4">
        <w:rPr>
          <w:rFonts w:hint="eastAsia"/>
          <w:sz w:val="30"/>
          <w:szCs w:val="30"/>
        </w:rPr>
        <w:t>）项目专项债券发行指引》的通知（发改办财金〔</w:t>
      </w:r>
      <w:r w:rsidRPr="006340E4">
        <w:rPr>
          <w:rFonts w:hint="eastAsia"/>
          <w:sz w:val="30"/>
          <w:szCs w:val="30"/>
        </w:rPr>
        <w:t>2017</w:t>
      </w:r>
      <w:r w:rsidRPr="006340E4">
        <w:rPr>
          <w:rFonts w:hint="eastAsia"/>
          <w:sz w:val="30"/>
          <w:szCs w:val="30"/>
        </w:rPr>
        <w:t>〕</w:t>
      </w:r>
      <w:r w:rsidRPr="006340E4">
        <w:rPr>
          <w:rFonts w:hint="eastAsia"/>
          <w:sz w:val="30"/>
          <w:szCs w:val="30"/>
        </w:rPr>
        <w:t>730</w:t>
      </w:r>
      <w:r w:rsidRPr="006340E4">
        <w:rPr>
          <w:rFonts w:hint="eastAsia"/>
          <w:sz w:val="30"/>
          <w:szCs w:val="30"/>
        </w:rPr>
        <w:t>号）</w:t>
      </w:r>
      <w:bookmarkEnd w:id="51"/>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各省、自治区、直辖市及计划单列市、新疆生产建设兵团发展改革委：</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为贯彻落实《中共中央 国务院关于深化投融资体制改革的意见》（中发〔2016〕18号）、《国务院关于创新重点领域投融资机制鼓励社会投资的指导意见》（国发〔2014〕60号）、《国务院办公厅转发财政部发展改革委人民银行关于在公共服务领域推广政府和社会资本合作模式指导意见的通知》（国办发〔2015〕42号）等文件精神，创新融资机制，拓宽政府和社会资本合作（PPP）项目融资渠道，引导社会资本投资于PPP项目建设，扩大公共产品和服务供给，积极发挥企业债券融资对PPP项目建设的支持作用，现将我委制定的《政府和社会资本合作（PPP）项目专项债券发行指引》印发你们，请认真贯彻执行。</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附件：政府和社会资本合作（PPP）项目专项债券发行指引</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国家发展改革委办公厅</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2017年4月25日</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附件</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政府和社会资本合作（PPP）项目专项债券发行指引</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xml:space="preserve">　　为贯彻落实《中共中央 国务院关于深化投融资体制改革的意见》、《国务院关于创新重点领域投融资机制鼓励社会投资的指导意见》、《国务院办公厅转发财政部发展改革委人民银行关于在公共服务领域推广政府和社会资本合作模式指导意见的通知》等文件精神，创新投融资机制，拓宽政府和社会资本合作（PPP）项目融资渠道，扩大公共产品和服务供给，根据《公司法》、《证券法》、《企业债券管理条例》，制定本指引。</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一、适用范围和支持重点</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政府和社会资本合作（PPP）项目专项债券（以下简称“PPP项目专项债券”）是指，由PPP项目公司或社会资本方发行，募集资金主要用于以特许经营、购买服务等PPP形式开展项目建设、运营的企业债券。现阶段支持重点为：能源、交通运输、水利、环境保护、农业、林业、科技、保障性安居工程、医疗、卫生、养老、教育、文化等传统基础设施和公共服务领域的项目。</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二、发行条件</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（一）发行PPP项目专项债券募集的资金，可用于PPP项目建设、运营，或偿还已直接用于项目建设的银行贷款。</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二）PPP项目专项债券应符合《公司法》、《证券法》、《企业债券管理条例》和我委相关规范性文件的要求。其中，以项目收益债券形式发行PPP项目专项债券，原则上应符合我委印发的《项目收益债券管理暂行办法》的要求。</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xml:space="preserve">　　（三）PPP项目运作应规范、透明，已履行审批、核准、备案手续和实施方案审查程序。鼓励聘请具有相应行业甲级资质的中介机构为项目编制可行性研究报告。</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四）应建立以PPP项目合同为核心的合同体系，相关合同文件应合法、规范、有效，包含股东持股比例、项目运营收益来源和标准（包括但不限于项目运营收入、运营成本、财政补贴、税收优惠、提前终止补偿等）、项目风险分担模式等内容。</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（五）PPP项目应能够产生持续稳定的收入和现金流，项目收益优先用于偿还债券本息。来源于政府付费和财政补贴的项目收益应按规定纳入中期财政规划和年度财政预算。</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（六）传统基础设施领域的PPP项目应纳入传统基础设施领域政府和社会资本合作（PPP）项目库。</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三、审核要求</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（一）在相关手续齐备、偿债措施完善的基础上，PPP项目专项债券比照我委“加快和简化审核类”债券审核程序，提高审核效率。</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（二）在偿债保障措施完善的情况下，允许企业使用不超过50%的债券募集资金用于补充营运资金（以项目收益债券形式发行PPP项目专项债券除外）。</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（三）主体信用等级达到AA+及以上且运营情况较好的发行主体申请发行PPP项目专项债券，可适当调整企业债券现行审核政策要求：</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1、核定发债规模时不考察非金融企业债务融资工具的规模。</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2、发行人可根据实际情况自主选择是否设置市场化增信方式。</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xml:space="preserve">　　3、以项目收益债券形式申请发行PPP项目专项债券，可不设置差额补偿机制，但应明确项目建设期利息偿付资金来源，并提供相应法律文件。</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（四）鼓励上市公司及其子公司发行PPP项目专项债券。</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（五）PPP项目专项债券发行人可根据项目资金回流的具体情况科学设计债券发行方案，支持合理灵活设置债券期限、选择权及还本付息方式，债券存续期不得超过PPP项目合作期限。</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（六）PPP项目专项债券批复文件有效期不超过2年。债券发行时发行人自身条件和PPP项目基本情况应当未发生可能影响偿债能力的重大不利变化。</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四、信息披露和投资者保护</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（一）PPP项目专项债券信息披露要求</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1、发行人和主承销商应在债券发行前，按要求对项目实施方案、PPP项目合同、项目入库情况、建设运营情况及本期债券可能存在的风险等事项进行充分披露。</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2、发行人和主承销商应在债券存续期内，定期（原则上每个计息年度不少于两次）在中国债券信息网等相关媒体上公告或向投资者通报项目建设进度、项目合同履约情况、运营服务绩效评价结果等信息。</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3、债券存续期内，项目建设、运营情况发生重大变化或发行人发生对投资者有重大影响的事项，应按照规定或约定履行程序，并及时公告或通报。</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（二）完善PPP项目专项债券投资者保护机制</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xml:space="preserve">　　1、发行人应在募集说明书中约定投资者保护机制（例如交叉违约条款、事先约束条款等），明确发行人或PPP项目本身发生重大事项时的应对措施。</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2、发行人应在募集说明书中约定加速到期条款，出现严重违约、不可抗力或PPP项目提前终止等可能损害投资者权益的重大不利情形时，经债券持有人大会讨论通过后，可提前清偿部分或全部债券本金。</w:t>
      </w:r>
    </w:p>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Pr>
        <w:pStyle w:val="3"/>
        <w:jc w:val="center"/>
        <w:rPr>
          <w:sz w:val="30"/>
          <w:szCs w:val="30"/>
        </w:rPr>
      </w:pPr>
      <w:bookmarkStart w:id="52" w:name="_Toc12864212"/>
      <w:r w:rsidRPr="006340E4">
        <w:rPr>
          <w:sz w:val="30"/>
          <w:szCs w:val="30"/>
        </w:rPr>
        <w:lastRenderedPageBreak/>
        <w:t>国家发展改革委关于印发</w:t>
      </w:r>
      <w:r w:rsidRPr="006340E4">
        <w:rPr>
          <w:rFonts w:hint="eastAsia"/>
          <w:sz w:val="30"/>
          <w:szCs w:val="30"/>
        </w:rPr>
        <w:t>《政府出资产业投资基金管理暂行办法》的通知（发改财金规〔</w:t>
      </w:r>
      <w:r w:rsidRPr="006340E4">
        <w:rPr>
          <w:rFonts w:hint="eastAsia"/>
          <w:sz w:val="30"/>
          <w:szCs w:val="30"/>
        </w:rPr>
        <w:t>2016</w:t>
      </w:r>
      <w:r w:rsidRPr="006340E4">
        <w:rPr>
          <w:rFonts w:hint="eastAsia"/>
          <w:sz w:val="30"/>
          <w:szCs w:val="30"/>
        </w:rPr>
        <w:t>〕</w:t>
      </w:r>
      <w:r w:rsidRPr="006340E4">
        <w:rPr>
          <w:rFonts w:hint="eastAsia"/>
          <w:sz w:val="30"/>
          <w:szCs w:val="30"/>
        </w:rPr>
        <w:t>2800</w:t>
      </w:r>
      <w:r w:rsidRPr="006340E4">
        <w:rPr>
          <w:rFonts w:hint="eastAsia"/>
          <w:sz w:val="30"/>
          <w:szCs w:val="30"/>
        </w:rPr>
        <w:t>号）</w:t>
      </w:r>
      <w:bookmarkEnd w:id="52"/>
    </w:p>
    <w:p w:rsidR="006340E4" w:rsidRPr="006340E4" w:rsidRDefault="006340E4" w:rsidP="006340E4">
      <w:pPr>
        <w:widowControl/>
        <w:spacing w:before="100" w:beforeAutospacing="1" w:after="100" w:afterAutospacing="1"/>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中央和国家机关有关部委、直属机构，各省、自治区、直辖市及计划单列市、新疆生产建设兵团发展改革委：</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br/>
        <w:t>为全面贯彻党的十八大和十八届三中、四中、五中全会精神，优化政府投资方式，发挥政府资金的引导作用和放大效应，提高政府资金使用效率，吸引社会资金投入政府支持领域和产业，根据《</w:t>
      </w:r>
      <w:hyperlink r:id="rId26" w:tgtFrame="_blank" w:history="1">
        <w:r w:rsidRPr="006340E4">
          <w:rPr>
            <w:rFonts w:cs="宋体" w:hint="eastAsia"/>
            <w:color w:val="333333"/>
            <w:kern w:val="0"/>
            <w:sz w:val="27"/>
            <w:szCs w:val="27"/>
          </w:rPr>
          <w:t>中华人民共和国公司法</w:t>
        </w:r>
      </w:hyperlink>
      <w:r w:rsidRPr="006340E4">
        <w:rPr>
          <w:rFonts w:ascii="微软雅黑" w:eastAsia="微软雅黑" w:hAnsi="微软雅黑" w:cs="宋体" w:hint="eastAsia"/>
          <w:color w:val="333333"/>
          <w:kern w:val="0"/>
          <w:sz w:val="27"/>
          <w:szCs w:val="27"/>
        </w:rPr>
        <w:t>》、《</w:t>
      </w:r>
      <w:hyperlink r:id="rId27" w:tgtFrame="_blank" w:history="1">
        <w:r w:rsidRPr="006340E4">
          <w:rPr>
            <w:rFonts w:cs="宋体" w:hint="eastAsia"/>
            <w:color w:val="333333"/>
            <w:kern w:val="0"/>
            <w:sz w:val="27"/>
            <w:szCs w:val="27"/>
          </w:rPr>
          <w:t>中华人民共和国合伙企业法</w:t>
        </w:r>
      </w:hyperlink>
      <w:r w:rsidRPr="006340E4">
        <w:rPr>
          <w:rFonts w:ascii="微软雅黑" w:eastAsia="微软雅黑" w:hAnsi="微软雅黑" w:cs="宋体" w:hint="eastAsia"/>
          <w:color w:val="333333"/>
          <w:kern w:val="0"/>
          <w:sz w:val="27"/>
          <w:szCs w:val="27"/>
        </w:rPr>
        <w:t>》、《</w:t>
      </w:r>
      <w:hyperlink r:id="rId28" w:tgtFrame="_blank" w:history="1">
        <w:r w:rsidRPr="006340E4">
          <w:rPr>
            <w:rFonts w:cs="宋体" w:hint="eastAsia"/>
            <w:color w:val="333333"/>
            <w:kern w:val="0"/>
            <w:sz w:val="27"/>
            <w:szCs w:val="27"/>
          </w:rPr>
          <w:t>中共中央国务院关于深化投融资体制改革的意见</w:t>
        </w:r>
      </w:hyperlink>
      <w:r w:rsidRPr="006340E4">
        <w:rPr>
          <w:rFonts w:ascii="微软雅黑" w:eastAsia="微软雅黑" w:hAnsi="微软雅黑" w:cs="宋体" w:hint="eastAsia"/>
          <w:color w:val="333333"/>
          <w:kern w:val="0"/>
          <w:sz w:val="27"/>
          <w:szCs w:val="27"/>
        </w:rPr>
        <w:t>》（</w:t>
      </w:r>
      <w:hyperlink r:id="rId29" w:tgtFrame="_blank" w:history="1">
        <w:r w:rsidRPr="006340E4">
          <w:rPr>
            <w:rFonts w:cs="宋体" w:hint="eastAsia"/>
            <w:color w:val="333333"/>
            <w:kern w:val="0"/>
            <w:sz w:val="27"/>
            <w:szCs w:val="27"/>
          </w:rPr>
          <w:t>中发〔</w:t>
        </w:r>
        <w:r w:rsidRPr="006340E4">
          <w:rPr>
            <w:rFonts w:cs="宋体" w:hint="eastAsia"/>
            <w:color w:val="333333"/>
            <w:kern w:val="0"/>
            <w:sz w:val="27"/>
            <w:szCs w:val="27"/>
          </w:rPr>
          <w:t>2016</w:t>
        </w:r>
        <w:r w:rsidRPr="006340E4">
          <w:rPr>
            <w:rFonts w:cs="宋体" w:hint="eastAsia"/>
            <w:color w:val="333333"/>
            <w:kern w:val="0"/>
            <w:sz w:val="27"/>
            <w:szCs w:val="27"/>
          </w:rPr>
          <w:t>〕</w:t>
        </w:r>
        <w:r w:rsidRPr="006340E4">
          <w:rPr>
            <w:rFonts w:cs="宋体" w:hint="eastAsia"/>
            <w:color w:val="333333"/>
            <w:kern w:val="0"/>
            <w:sz w:val="27"/>
            <w:szCs w:val="27"/>
          </w:rPr>
          <w:t>18</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w:t>
      </w:r>
      <w:hyperlink r:id="rId30" w:tgtFrame="_blank" w:history="1">
        <w:r w:rsidRPr="006340E4">
          <w:rPr>
            <w:rFonts w:cs="宋体" w:hint="eastAsia"/>
            <w:color w:val="333333"/>
            <w:kern w:val="0"/>
            <w:sz w:val="27"/>
            <w:szCs w:val="27"/>
          </w:rPr>
          <w:t>国务院关于促进创业投资持续健康发展的若干意见</w:t>
        </w:r>
      </w:hyperlink>
      <w:r w:rsidRPr="006340E4">
        <w:rPr>
          <w:rFonts w:ascii="微软雅黑" w:eastAsia="微软雅黑" w:hAnsi="微软雅黑" w:cs="宋体" w:hint="eastAsia"/>
          <w:color w:val="333333"/>
          <w:kern w:val="0"/>
          <w:sz w:val="27"/>
          <w:szCs w:val="27"/>
        </w:rPr>
        <w:t>》（</w:t>
      </w:r>
      <w:hyperlink r:id="rId31" w:tgtFrame="_blank" w:history="1">
        <w:r w:rsidRPr="006340E4">
          <w:rPr>
            <w:rFonts w:cs="宋体" w:hint="eastAsia"/>
            <w:color w:val="333333"/>
            <w:kern w:val="0"/>
            <w:sz w:val="27"/>
            <w:szCs w:val="27"/>
          </w:rPr>
          <w:t>国发〔</w:t>
        </w:r>
        <w:r w:rsidRPr="006340E4">
          <w:rPr>
            <w:rFonts w:cs="宋体" w:hint="eastAsia"/>
            <w:color w:val="333333"/>
            <w:kern w:val="0"/>
            <w:sz w:val="27"/>
            <w:szCs w:val="27"/>
          </w:rPr>
          <w:t>2016</w:t>
        </w:r>
        <w:r w:rsidRPr="006340E4">
          <w:rPr>
            <w:rFonts w:cs="宋体" w:hint="eastAsia"/>
            <w:color w:val="333333"/>
            <w:kern w:val="0"/>
            <w:sz w:val="27"/>
            <w:szCs w:val="27"/>
          </w:rPr>
          <w:t>〕</w:t>
        </w:r>
        <w:r w:rsidRPr="006340E4">
          <w:rPr>
            <w:rFonts w:cs="宋体" w:hint="eastAsia"/>
            <w:color w:val="333333"/>
            <w:kern w:val="0"/>
            <w:sz w:val="27"/>
            <w:szCs w:val="27"/>
          </w:rPr>
          <w:t>53</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w:t>
      </w:r>
      <w:hyperlink r:id="rId32" w:tgtFrame="_blank" w:history="1">
        <w:r w:rsidRPr="006340E4">
          <w:rPr>
            <w:rFonts w:cs="宋体" w:hint="eastAsia"/>
            <w:color w:val="333333"/>
            <w:kern w:val="0"/>
            <w:sz w:val="27"/>
            <w:szCs w:val="27"/>
          </w:rPr>
          <w:t>国务院关于创新重点领域投融资机制鼓励社会投资的指导意见</w:t>
        </w:r>
      </w:hyperlink>
      <w:r w:rsidRPr="006340E4">
        <w:rPr>
          <w:rFonts w:ascii="微软雅黑" w:eastAsia="微软雅黑" w:hAnsi="微软雅黑" w:cs="宋体" w:hint="eastAsia"/>
          <w:color w:val="333333"/>
          <w:kern w:val="0"/>
          <w:sz w:val="27"/>
          <w:szCs w:val="27"/>
        </w:rPr>
        <w:t>》（</w:t>
      </w:r>
      <w:hyperlink r:id="rId33" w:tgtFrame="_blank" w:history="1">
        <w:r w:rsidRPr="006340E4">
          <w:rPr>
            <w:rFonts w:cs="宋体" w:hint="eastAsia"/>
            <w:color w:val="333333"/>
            <w:kern w:val="0"/>
            <w:sz w:val="27"/>
            <w:szCs w:val="27"/>
          </w:rPr>
          <w:t>国发〔</w:t>
        </w:r>
        <w:r w:rsidRPr="006340E4">
          <w:rPr>
            <w:rFonts w:cs="宋体" w:hint="eastAsia"/>
            <w:color w:val="333333"/>
            <w:kern w:val="0"/>
            <w:sz w:val="27"/>
            <w:szCs w:val="27"/>
          </w:rPr>
          <w:t>2014</w:t>
        </w:r>
        <w:r w:rsidRPr="006340E4">
          <w:rPr>
            <w:rFonts w:cs="宋体" w:hint="eastAsia"/>
            <w:color w:val="333333"/>
            <w:kern w:val="0"/>
            <w:sz w:val="27"/>
            <w:szCs w:val="27"/>
          </w:rPr>
          <w:t>〕</w:t>
        </w:r>
        <w:r w:rsidRPr="006340E4">
          <w:rPr>
            <w:rFonts w:cs="宋体" w:hint="eastAsia"/>
            <w:color w:val="333333"/>
            <w:kern w:val="0"/>
            <w:sz w:val="27"/>
            <w:szCs w:val="27"/>
          </w:rPr>
          <w:t>60</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）等法律法规和有关文件精神，我们制定了《</w:t>
      </w:r>
      <w:hyperlink r:id="rId34" w:tgtFrame="_blank" w:history="1">
        <w:r w:rsidRPr="006340E4">
          <w:rPr>
            <w:rFonts w:cs="宋体" w:hint="eastAsia"/>
            <w:color w:val="333333"/>
            <w:kern w:val="0"/>
            <w:sz w:val="27"/>
            <w:szCs w:val="27"/>
          </w:rPr>
          <w:t>政府出资产业投资基金管理暂行办法</w:t>
        </w:r>
      </w:hyperlink>
      <w:r w:rsidRPr="006340E4">
        <w:rPr>
          <w:rFonts w:ascii="微软雅黑" w:eastAsia="微软雅黑" w:hAnsi="微软雅黑" w:cs="宋体" w:hint="eastAsia"/>
          <w:color w:val="333333"/>
          <w:kern w:val="0"/>
          <w:sz w:val="27"/>
          <w:szCs w:val="27"/>
        </w:rPr>
        <w:t>》。现印发给你们，请认真贯彻执行。</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br/>
        <w:t>附件：</w:t>
      </w:r>
      <w:hyperlink r:id="rId35" w:tgtFrame="_blank" w:history="1">
        <w:r w:rsidRPr="006340E4">
          <w:rPr>
            <w:rFonts w:cs="宋体" w:hint="eastAsia"/>
            <w:color w:val="333333"/>
            <w:kern w:val="0"/>
            <w:sz w:val="27"/>
            <w:szCs w:val="27"/>
          </w:rPr>
          <w:t>政府出资产业投资基金管理暂行办法</w:t>
        </w:r>
      </w:hyperlink>
    </w:p>
    <w:p w:rsidR="006340E4" w:rsidRPr="006340E4" w:rsidRDefault="006340E4" w:rsidP="006340E4">
      <w:pPr>
        <w:widowControl/>
        <w:spacing w:before="100" w:beforeAutospacing="1" w:after="100" w:afterAutospacing="1"/>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br/>
        <w:t>国家发展改革委</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br/>
        <w:t>2016年12月30日</w:t>
      </w:r>
      <w:r w:rsidR="00087849">
        <w:rPr>
          <w:rFonts w:ascii="微软雅黑" w:eastAsia="微软雅黑" w:hAnsi="微软雅黑" w:cs="宋体" w:hint="eastAsia"/>
          <w:color w:val="333333"/>
          <w:kern w:val="0"/>
          <w:sz w:val="27"/>
          <w:szCs w:val="27"/>
        </w:rPr>
        <w:br/>
      </w:r>
    </w:p>
    <w:p w:rsidR="006340E4" w:rsidRPr="006340E4" w:rsidRDefault="006340E4" w:rsidP="006340E4">
      <w:pPr>
        <w:widowControl/>
        <w:spacing w:before="100" w:beforeAutospacing="1" w:after="100" w:afterAutospacing="1"/>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w:t>
      </w:r>
    </w:p>
    <w:p w:rsidR="006340E4" w:rsidRPr="006340E4" w:rsidRDefault="00087849" w:rsidP="006340E4">
      <w:pPr>
        <w:widowControl/>
        <w:spacing w:before="100" w:beforeAutospacing="1" w:after="100" w:afterAutospacing="1"/>
        <w:jc w:val="left"/>
        <w:rPr>
          <w:rFonts w:ascii="微软雅黑" w:eastAsia="微软雅黑" w:hAnsi="微软雅黑" w:cs="宋体"/>
          <w:color w:val="333333"/>
          <w:kern w:val="0"/>
          <w:sz w:val="27"/>
          <w:szCs w:val="27"/>
        </w:rPr>
      </w:pPr>
      <w:r>
        <w:rPr>
          <w:rFonts w:ascii="微软雅黑" w:eastAsia="微软雅黑" w:hAnsi="微软雅黑" w:cs="宋体" w:hint="eastAsia"/>
          <w:color w:val="333333"/>
          <w:kern w:val="0"/>
          <w:sz w:val="27"/>
          <w:szCs w:val="27"/>
        </w:rPr>
        <w:t> </w:t>
      </w:r>
      <w:r w:rsidR="006340E4" w:rsidRPr="006340E4">
        <w:rPr>
          <w:rFonts w:ascii="微软雅黑" w:eastAsia="微软雅黑" w:hAnsi="微软雅黑" w:cs="宋体" w:hint="eastAsia"/>
          <w:color w:val="333333"/>
          <w:kern w:val="0"/>
          <w:sz w:val="27"/>
          <w:szCs w:val="27"/>
        </w:rPr>
        <w:br/>
      </w:r>
      <w:hyperlink r:id="rId36" w:tgtFrame="_blank" w:history="1">
        <w:r w:rsidR="006340E4" w:rsidRPr="006340E4">
          <w:rPr>
            <w:rFonts w:cs="宋体" w:hint="eastAsia"/>
            <w:color w:val="333333"/>
            <w:kern w:val="0"/>
            <w:sz w:val="27"/>
            <w:szCs w:val="27"/>
          </w:rPr>
          <w:t>政府出资产业投资基金管理暂行办法</w:t>
        </w:r>
      </w:hyperlink>
    </w:p>
    <w:p w:rsidR="006340E4" w:rsidRPr="006340E4" w:rsidRDefault="006340E4" w:rsidP="006340E4">
      <w:pPr>
        <w:widowControl/>
        <w:spacing w:before="100" w:beforeAutospacing="1" w:after="100" w:afterAutospacing="1"/>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第一章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总</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则</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第一条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为促进国民经济持续健康发展，优化政府投资方式，发挥政府资金的引导作用和放大效应，提高政府资金使用效率，吸引社会资金投入政府支持领域和产业，根据《</w:t>
      </w:r>
      <w:hyperlink r:id="rId37" w:tgtFrame="_blank" w:history="1">
        <w:r w:rsidRPr="006340E4">
          <w:rPr>
            <w:rFonts w:cs="宋体" w:hint="eastAsia"/>
            <w:color w:val="333333"/>
            <w:kern w:val="0"/>
            <w:sz w:val="27"/>
            <w:szCs w:val="27"/>
          </w:rPr>
          <w:t>中华人民共和国公司法</w:t>
        </w:r>
      </w:hyperlink>
      <w:r w:rsidRPr="006340E4">
        <w:rPr>
          <w:rFonts w:ascii="微软雅黑" w:eastAsia="微软雅黑" w:hAnsi="微软雅黑" w:cs="宋体" w:hint="eastAsia"/>
          <w:color w:val="333333"/>
          <w:kern w:val="0"/>
          <w:sz w:val="27"/>
          <w:szCs w:val="27"/>
        </w:rPr>
        <w:t>》、《</w:t>
      </w:r>
      <w:hyperlink r:id="rId38" w:tgtFrame="_blank" w:history="1">
        <w:r w:rsidRPr="006340E4">
          <w:rPr>
            <w:rFonts w:cs="宋体" w:hint="eastAsia"/>
            <w:color w:val="333333"/>
            <w:kern w:val="0"/>
            <w:sz w:val="27"/>
            <w:szCs w:val="27"/>
          </w:rPr>
          <w:t>中华人民共和国合伙企业法</w:t>
        </w:r>
      </w:hyperlink>
      <w:r w:rsidRPr="006340E4">
        <w:rPr>
          <w:rFonts w:ascii="微软雅黑" w:eastAsia="微软雅黑" w:hAnsi="微软雅黑" w:cs="宋体" w:hint="eastAsia"/>
          <w:color w:val="333333"/>
          <w:kern w:val="0"/>
          <w:sz w:val="27"/>
          <w:szCs w:val="27"/>
        </w:rPr>
        <w:t>》、《</w:t>
      </w:r>
      <w:hyperlink r:id="rId39" w:tgtFrame="_blank" w:history="1">
        <w:r w:rsidRPr="006340E4">
          <w:rPr>
            <w:rFonts w:cs="宋体" w:hint="eastAsia"/>
            <w:color w:val="333333"/>
            <w:kern w:val="0"/>
            <w:sz w:val="27"/>
            <w:szCs w:val="27"/>
          </w:rPr>
          <w:t>中共中央国务院关于深化投融资体制改革的意见</w:t>
        </w:r>
      </w:hyperlink>
      <w:r w:rsidRPr="006340E4">
        <w:rPr>
          <w:rFonts w:ascii="微软雅黑" w:eastAsia="微软雅黑" w:hAnsi="微软雅黑" w:cs="宋体" w:hint="eastAsia"/>
          <w:color w:val="333333"/>
          <w:kern w:val="0"/>
          <w:sz w:val="27"/>
          <w:szCs w:val="27"/>
        </w:rPr>
        <w:t>》（</w:t>
      </w:r>
      <w:hyperlink r:id="rId40" w:tgtFrame="_blank" w:history="1">
        <w:r w:rsidRPr="006340E4">
          <w:rPr>
            <w:rFonts w:cs="宋体" w:hint="eastAsia"/>
            <w:color w:val="333333"/>
            <w:kern w:val="0"/>
            <w:sz w:val="27"/>
            <w:szCs w:val="27"/>
          </w:rPr>
          <w:t>中发〔</w:t>
        </w:r>
        <w:r w:rsidRPr="006340E4">
          <w:rPr>
            <w:rFonts w:cs="宋体" w:hint="eastAsia"/>
            <w:color w:val="333333"/>
            <w:kern w:val="0"/>
            <w:sz w:val="27"/>
            <w:szCs w:val="27"/>
          </w:rPr>
          <w:t>2016</w:t>
        </w:r>
        <w:r w:rsidRPr="006340E4">
          <w:rPr>
            <w:rFonts w:cs="宋体" w:hint="eastAsia"/>
            <w:color w:val="333333"/>
            <w:kern w:val="0"/>
            <w:sz w:val="27"/>
            <w:szCs w:val="27"/>
          </w:rPr>
          <w:t>〕</w:t>
        </w:r>
        <w:r w:rsidRPr="006340E4">
          <w:rPr>
            <w:rFonts w:cs="宋体" w:hint="eastAsia"/>
            <w:color w:val="333333"/>
            <w:kern w:val="0"/>
            <w:sz w:val="27"/>
            <w:szCs w:val="27"/>
          </w:rPr>
          <w:t>18</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w:t>
      </w:r>
      <w:hyperlink r:id="rId41" w:tgtFrame="_blank" w:history="1">
        <w:r w:rsidRPr="006340E4">
          <w:rPr>
            <w:rFonts w:cs="宋体" w:hint="eastAsia"/>
            <w:color w:val="333333"/>
            <w:kern w:val="0"/>
            <w:sz w:val="27"/>
            <w:szCs w:val="27"/>
          </w:rPr>
          <w:t>国务院关于促进创业投资持续健康发展的若干意见</w:t>
        </w:r>
      </w:hyperlink>
      <w:r w:rsidRPr="006340E4">
        <w:rPr>
          <w:rFonts w:ascii="微软雅黑" w:eastAsia="微软雅黑" w:hAnsi="微软雅黑" w:cs="宋体" w:hint="eastAsia"/>
          <w:color w:val="333333"/>
          <w:kern w:val="0"/>
          <w:sz w:val="27"/>
          <w:szCs w:val="27"/>
        </w:rPr>
        <w:t>》（</w:t>
      </w:r>
      <w:hyperlink r:id="rId42" w:tgtFrame="_blank" w:history="1">
        <w:r w:rsidRPr="006340E4">
          <w:rPr>
            <w:rFonts w:cs="宋体" w:hint="eastAsia"/>
            <w:color w:val="333333"/>
            <w:kern w:val="0"/>
            <w:sz w:val="27"/>
            <w:szCs w:val="27"/>
          </w:rPr>
          <w:t>国发〔</w:t>
        </w:r>
        <w:r w:rsidRPr="006340E4">
          <w:rPr>
            <w:rFonts w:cs="宋体" w:hint="eastAsia"/>
            <w:color w:val="333333"/>
            <w:kern w:val="0"/>
            <w:sz w:val="27"/>
            <w:szCs w:val="27"/>
          </w:rPr>
          <w:t>2016</w:t>
        </w:r>
        <w:r w:rsidRPr="006340E4">
          <w:rPr>
            <w:rFonts w:cs="宋体" w:hint="eastAsia"/>
            <w:color w:val="333333"/>
            <w:kern w:val="0"/>
            <w:sz w:val="27"/>
            <w:szCs w:val="27"/>
          </w:rPr>
          <w:t>〕</w:t>
        </w:r>
        <w:r w:rsidRPr="006340E4">
          <w:rPr>
            <w:rFonts w:cs="宋体" w:hint="eastAsia"/>
            <w:color w:val="333333"/>
            <w:kern w:val="0"/>
            <w:sz w:val="27"/>
            <w:szCs w:val="27"/>
          </w:rPr>
          <w:t>53</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w:t>
      </w:r>
      <w:hyperlink r:id="rId43" w:tgtFrame="_blank" w:history="1">
        <w:r w:rsidRPr="006340E4">
          <w:rPr>
            <w:rFonts w:cs="宋体" w:hint="eastAsia"/>
            <w:color w:val="333333"/>
            <w:kern w:val="0"/>
            <w:sz w:val="27"/>
            <w:szCs w:val="27"/>
          </w:rPr>
          <w:t>国务院关于创新重点领域投融资机制鼓励社会投资的指导意见</w:t>
        </w:r>
      </w:hyperlink>
      <w:r w:rsidRPr="006340E4">
        <w:rPr>
          <w:rFonts w:ascii="微软雅黑" w:eastAsia="微软雅黑" w:hAnsi="微软雅黑" w:cs="宋体" w:hint="eastAsia"/>
          <w:color w:val="333333"/>
          <w:kern w:val="0"/>
          <w:sz w:val="27"/>
          <w:szCs w:val="27"/>
        </w:rPr>
        <w:t>》（</w:t>
      </w:r>
      <w:hyperlink r:id="rId44" w:tgtFrame="_blank" w:history="1">
        <w:r w:rsidRPr="006340E4">
          <w:rPr>
            <w:rFonts w:cs="宋体" w:hint="eastAsia"/>
            <w:color w:val="333333"/>
            <w:kern w:val="0"/>
            <w:sz w:val="27"/>
            <w:szCs w:val="27"/>
          </w:rPr>
          <w:t>国发〔</w:t>
        </w:r>
        <w:r w:rsidRPr="006340E4">
          <w:rPr>
            <w:rFonts w:cs="宋体" w:hint="eastAsia"/>
            <w:color w:val="333333"/>
            <w:kern w:val="0"/>
            <w:sz w:val="27"/>
            <w:szCs w:val="27"/>
          </w:rPr>
          <w:t>2014</w:t>
        </w:r>
        <w:r w:rsidRPr="006340E4">
          <w:rPr>
            <w:rFonts w:cs="宋体" w:hint="eastAsia"/>
            <w:color w:val="333333"/>
            <w:kern w:val="0"/>
            <w:sz w:val="27"/>
            <w:szCs w:val="27"/>
          </w:rPr>
          <w:t>〕</w:t>
        </w:r>
        <w:r w:rsidRPr="006340E4">
          <w:rPr>
            <w:rFonts w:cs="宋体" w:hint="eastAsia"/>
            <w:color w:val="333333"/>
            <w:kern w:val="0"/>
            <w:sz w:val="27"/>
            <w:szCs w:val="27"/>
          </w:rPr>
          <w:t>60</w:t>
        </w:r>
        <w:r w:rsidRPr="006340E4">
          <w:rPr>
            <w:rFonts w:cs="宋体" w:hint="eastAsia"/>
            <w:color w:val="333333"/>
            <w:kern w:val="0"/>
            <w:sz w:val="27"/>
            <w:szCs w:val="27"/>
          </w:rPr>
          <w:t>号</w:t>
        </w:r>
      </w:hyperlink>
      <w:r w:rsidRPr="006340E4">
        <w:rPr>
          <w:rFonts w:ascii="微软雅黑" w:eastAsia="微软雅黑" w:hAnsi="微软雅黑" w:cs="宋体" w:hint="eastAsia"/>
          <w:color w:val="333333"/>
          <w:kern w:val="0"/>
          <w:sz w:val="27"/>
          <w:szCs w:val="27"/>
        </w:rPr>
        <w:t>）等法律法规和有关文件精神，制定本办法。</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本办法所称政府出资产业投资基金，是指有政府出资，主要投资于非公开交易企业股权的股权投资基金和创业投资基金。</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政府出资资金来源包括财政预算内投资、中央和地方各类专项建设基金及其它财政性资金。</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政府出资产业投资基金可以采用公司制、合伙制、契约制等组织形式。</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第五条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政府出资产业投资基金由基金管理人管理基金资产，由基金托管人托管基金资产。</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lastRenderedPageBreak/>
        <w:t>第六条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政府出资产业投资基金应坚持市场化运作、专业化管理原则，政府出资人不得参与基金日常管理事务。</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第七条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政府出资产业投资基金可以综合运用参股基金、联合投资、融资担保、政府出资适当让利等多种方式，充分发挥基金在贯彻产业政策、引导民间投资、稳定经济增长等方面的作用。</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第八条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会同地方发展改革部门对政府出资产业投资基金业务活动实施事中事后管理，负责推动政府出资产业投资基金行业信用体系建设，定期发布行业发展报告，维护有利于行业持续健康发展的良好市场秩序。</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政府出资产业投资基金的募集和登记管理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第九条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政府向产业投资基金出资，可以采取全部由政府出资、与社会资本共同出资或向符合条件的已有产业投资基金投资等形式。</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政府出资产业投资基金社会资金部分应当采取私募方式募集，募集行为应符合相关法律法规及国家有关部门规定。</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第十一条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除政府外的其他基金投资者为具备一定风险识别和承受能力的合格机构投资者。</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第十二条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建立全国政府出资产业投资基金信用信息登记系统，并指导地方发展改革部门建立本区域政府出资产业投资基金信用信息登记子系统。中央各部门及其直属机构出资设立的产业投资基金募集完毕后二十个工作日内，应在全国政府出资产业投资基金信用信息登记系统登记。地方政府或所属部门、直属机构出资设立的产业投资基金募集完毕后二十个工作日内，应在本区域政府出资产业投资基金信用</w:t>
      </w:r>
      <w:r w:rsidRPr="006340E4">
        <w:rPr>
          <w:rFonts w:ascii="微软雅黑" w:eastAsia="微软雅黑" w:hAnsi="微软雅黑" w:cs="宋体" w:hint="eastAsia"/>
          <w:color w:val="333333"/>
          <w:kern w:val="0"/>
          <w:sz w:val="27"/>
          <w:szCs w:val="27"/>
        </w:rPr>
        <w:lastRenderedPageBreak/>
        <w:t>信息登记子系统登记。发展改革部门应于报送材料齐备后五个工作日内予以登记。</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第十三条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政府出资产业投资基金的投资方向，应符合区域规划、区域政策、产业政策、投资政策及其他国家宏观管理政策，能够充分发挥政府资金在特定领域的引导作用和放大效应，有效提高政府资金使用效率。</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第十四条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在信用信息登记系统登记后，由发展改革部门根据登记信息在三十个工作日内对基金投向进行产业政策符合性审查，并在信用信息登记系统予以公开。对于未通过产业政策符合性审查的政府出资产业投资基金，各级发展改革部门应及时出具整改建议书，并抄送相关政府或部门。</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第十五条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负责中央各部门及其直属机构政府出资设立的产业投资基金材料完备性和产业政策符合性审查。地方各级发展改革部门负责本级政府或所属部门、直属机构政府出资设立的产业投资基金材料完备性和产业政策符合性审查。以下情况除外：</w:t>
      </w:r>
      <w:r w:rsidRPr="006340E4">
        <w:rPr>
          <w:rFonts w:ascii="微软雅黑" w:eastAsia="微软雅黑" w:hAnsi="微软雅黑" w:cs="宋体" w:hint="eastAsia"/>
          <w:color w:val="333333"/>
          <w:kern w:val="0"/>
          <w:sz w:val="27"/>
          <w:szCs w:val="27"/>
        </w:rPr>
        <w:br/>
        <w:t>（一）各级地方政府或所属部门、直属机构出资额50亿元人民币（或等值外币）及以上的，由国家发展改革委负责材料完备性和产业政策符合性审查；</w:t>
      </w:r>
      <w:r w:rsidRPr="006340E4">
        <w:rPr>
          <w:rFonts w:ascii="微软雅黑" w:eastAsia="微软雅黑" w:hAnsi="微软雅黑" w:cs="宋体" w:hint="eastAsia"/>
          <w:color w:val="333333"/>
          <w:kern w:val="0"/>
          <w:sz w:val="27"/>
          <w:szCs w:val="27"/>
        </w:rPr>
        <w:br/>
        <w:t>（二）50亿元人民币（或等值外币）以下超过一定规模的县、市地方政府或所属部门、直属机构出资，由省级发展改革部门负责材料完备性和产业政策符合性审查，具体规模由各省（自治区、直辖市）发展改革部门确定。</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第十六条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政府出资产业投资基金信用信息登记主要包括以下基本信息：</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lastRenderedPageBreak/>
        <w:t>（一）相关批复和基金组建方案；</w:t>
      </w:r>
      <w:r w:rsidRPr="006340E4">
        <w:rPr>
          <w:rFonts w:ascii="微软雅黑" w:eastAsia="微软雅黑" w:hAnsi="微软雅黑" w:cs="宋体" w:hint="eastAsia"/>
          <w:color w:val="333333"/>
          <w:kern w:val="0"/>
          <w:sz w:val="27"/>
          <w:szCs w:val="27"/>
        </w:rPr>
        <w:br/>
        <w:t>（二）基金章程、合伙协议或基金协议；</w:t>
      </w:r>
      <w:r w:rsidRPr="006340E4">
        <w:rPr>
          <w:rFonts w:ascii="微软雅黑" w:eastAsia="微软雅黑" w:hAnsi="微软雅黑" w:cs="宋体" w:hint="eastAsia"/>
          <w:color w:val="333333"/>
          <w:kern w:val="0"/>
          <w:sz w:val="27"/>
          <w:szCs w:val="27"/>
        </w:rPr>
        <w:br/>
        <w:t>（三）基金管理协议（如适用）；</w:t>
      </w:r>
      <w:r w:rsidRPr="006340E4">
        <w:rPr>
          <w:rFonts w:ascii="微软雅黑" w:eastAsia="微软雅黑" w:hAnsi="微软雅黑" w:cs="宋体" w:hint="eastAsia"/>
          <w:color w:val="333333"/>
          <w:kern w:val="0"/>
          <w:sz w:val="27"/>
          <w:szCs w:val="27"/>
        </w:rPr>
        <w:br/>
        <w:t>（四）基金托管协议；</w:t>
      </w:r>
      <w:r w:rsidRPr="006340E4">
        <w:rPr>
          <w:rFonts w:ascii="微软雅黑" w:eastAsia="微软雅黑" w:hAnsi="微软雅黑" w:cs="宋体" w:hint="eastAsia"/>
          <w:color w:val="333333"/>
          <w:kern w:val="0"/>
          <w:sz w:val="27"/>
          <w:szCs w:val="27"/>
        </w:rPr>
        <w:br/>
        <w:t>（五）基金管理人的章程或合伙协议；</w:t>
      </w:r>
      <w:r w:rsidRPr="006340E4">
        <w:rPr>
          <w:rFonts w:ascii="微软雅黑" w:eastAsia="微软雅黑" w:hAnsi="微软雅黑" w:cs="宋体" w:hint="eastAsia"/>
          <w:color w:val="333333"/>
          <w:kern w:val="0"/>
          <w:sz w:val="27"/>
          <w:szCs w:val="27"/>
        </w:rPr>
        <w:br/>
        <w:t>（六）基金管理人高级管理人员的简历和过往业绩；</w:t>
      </w:r>
      <w:r w:rsidRPr="006340E4">
        <w:rPr>
          <w:rFonts w:ascii="微软雅黑" w:eastAsia="微软雅黑" w:hAnsi="微软雅黑" w:cs="宋体" w:hint="eastAsia"/>
          <w:color w:val="333333"/>
          <w:kern w:val="0"/>
          <w:sz w:val="27"/>
          <w:szCs w:val="27"/>
        </w:rPr>
        <w:br/>
        <w:t>（七）基金投资人向基金出资的资金证明文件；</w:t>
      </w:r>
      <w:r w:rsidRPr="006340E4">
        <w:rPr>
          <w:rFonts w:ascii="微软雅黑" w:eastAsia="微软雅黑" w:hAnsi="微软雅黑" w:cs="宋体" w:hint="eastAsia"/>
          <w:color w:val="333333"/>
          <w:kern w:val="0"/>
          <w:sz w:val="27"/>
          <w:szCs w:val="27"/>
        </w:rPr>
        <w:br/>
        <w:t>（八）其他资料。</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第十七条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新发起设立政府出资产业投资基金，基金组建方案应包括：</w:t>
      </w:r>
      <w:r w:rsidRPr="006340E4">
        <w:rPr>
          <w:rFonts w:ascii="微软雅黑" w:eastAsia="微软雅黑" w:hAnsi="微软雅黑" w:cs="宋体" w:hint="eastAsia"/>
          <w:color w:val="333333"/>
          <w:kern w:val="0"/>
          <w:sz w:val="27"/>
          <w:szCs w:val="27"/>
        </w:rPr>
        <w:br/>
        <w:t>（一）拟设基金主要发起人、管理人和托管人基本情况；</w:t>
      </w:r>
      <w:r w:rsidRPr="006340E4">
        <w:rPr>
          <w:rFonts w:ascii="微软雅黑" w:eastAsia="微软雅黑" w:hAnsi="微软雅黑" w:cs="宋体" w:hint="eastAsia"/>
          <w:color w:val="333333"/>
          <w:kern w:val="0"/>
          <w:sz w:val="27"/>
          <w:szCs w:val="27"/>
        </w:rPr>
        <w:br/>
        <w:t>（二）拟设基金治理结构和组织架构；</w:t>
      </w:r>
      <w:r w:rsidRPr="006340E4">
        <w:rPr>
          <w:rFonts w:ascii="微软雅黑" w:eastAsia="微软雅黑" w:hAnsi="微软雅黑" w:cs="宋体" w:hint="eastAsia"/>
          <w:color w:val="333333"/>
          <w:kern w:val="0"/>
          <w:sz w:val="27"/>
          <w:szCs w:val="27"/>
        </w:rPr>
        <w:br/>
        <w:t>（三）主要发起人和政府资金来源、出资额度；</w:t>
      </w:r>
      <w:r w:rsidRPr="006340E4">
        <w:rPr>
          <w:rFonts w:ascii="微软雅黑" w:eastAsia="微软雅黑" w:hAnsi="微软雅黑" w:cs="宋体" w:hint="eastAsia"/>
          <w:color w:val="333333"/>
          <w:kern w:val="0"/>
          <w:sz w:val="27"/>
          <w:szCs w:val="27"/>
        </w:rPr>
        <w:br/>
        <w:t>（四）拟在基金章程、合伙协议或基金协议中确定的投资产业领域、投资方式、风险防控措施、激励机制、基金存续期限等；</w:t>
      </w:r>
      <w:r w:rsidRPr="006340E4">
        <w:rPr>
          <w:rFonts w:ascii="微软雅黑" w:eastAsia="微软雅黑" w:hAnsi="微软雅黑" w:cs="宋体" w:hint="eastAsia"/>
          <w:color w:val="333333"/>
          <w:kern w:val="0"/>
          <w:sz w:val="27"/>
          <w:szCs w:val="27"/>
        </w:rPr>
        <w:br/>
        <w:t>（五）政府出资退出条件和方式；</w:t>
      </w:r>
      <w:r w:rsidRPr="006340E4">
        <w:rPr>
          <w:rFonts w:ascii="微软雅黑" w:eastAsia="微软雅黑" w:hAnsi="微软雅黑" w:cs="宋体" w:hint="eastAsia"/>
          <w:color w:val="333333"/>
          <w:kern w:val="0"/>
          <w:sz w:val="27"/>
          <w:szCs w:val="27"/>
        </w:rPr>
        <w:br/>
        <w:t>（六）其他资料。</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第十八条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政府向已设立产业投资基金出资，基金组建方案应包括：</w:t>
      </w:r>
      <w:r w:rsidRPr="006340E4">
        <w:rPr>
          <w:rFonts w:ascii="微软雅黑" w:eastAsia="微软雅黑" w:hAnsi="微软雅黑" w:cs="宋体" w:hint="eastAsia"/>
          <w:color w:val="333333"/>
          <w:kern w:val="0"/>
          <w:sz w:val="27"/>
          <w:szCs w:val="27"/>
        </w:rPr>
        <w:br/>
        <w:t>（一）基金主要发起人、管理人和托管人基本情况；</w:t>
      </w:r>
      <w:r w:rsidRPr="006340E4">
        <w:rPr>
          <w:rFonts w:ascii="微软雅黑" w:eastAsia="微软雅黑" w:hAnsi="微软雅黑" w:cs="宋体" w:hint="eastAsia"/>
          <w:color w:val="333333"/>
          <w:kern w:val="0"/>
          <w:sz w:val="27"/>
          <w:szCs w:val="27"/>
        </w:rPr>
        <w:br/>
        <w:t>（二）基金前期运行情况；</w:t>
      </w:r>
      <w:r w:rsidRPr="006340E4">
        <w:rPr>
          <w:rFonts w:ascii="微软雅黑" w:eastAsia="微软雅黑" w:hAnsi="微软雅黑" w:cs="宋体" w:hint="eastAsia"/>
          <w:color w:val="333333"/>
          <w:kern w:val="0"/>
          <w:sz w:val="27"/>
          <w:szCs w:val="27"/>
        </w:rPr>
        <w:br/>
        <w:t>（三）基金治理结构和组织架构；</w:t>
      </w:r>
      <w:r w:rsidRPr="006340E4">
        <w:rPr>
          <w:rFonts w:ascii="微软雅黑" w:eastAsia="微软雅黑" w:hAnsi="微软雅黑" w:cs="宋体" w:hint="eastAsia"/>
          <w:color w:val="333333"/>
          <w:kern w:val="0"/>
          <w:sz w:val="27"/>
          <w:szCs w:val="27"/>
        </w:rPr>
        <w:br/>
        <w:t>（四）基金章程、合伙协议或基金协议中确定的投资产业领域、投资方式、风险防控措施、激励机制等；</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lastRenderedPageBreak/>
        <w:t>（五）其他资料。</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第十九条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政府出资产业投资基金管理人履行下列职责：</w:t>
      </w:r>
      <w:r w:rsidRPr="006340E4">
        <w:rPr>
          <w:rFonts w:ascii="微软雅黑" w:eastAsia="微软雅黑" w:hAnsi="微软雅黑" w:cs="宋体" w:hint="eastAsia"/>
          <w:color w:val="333333"/>
          <w:kern w:val="0"/>
          <w:sz w:val="27"/>
          <w:szCs w:val="27"/>
        </w:rPr>
        <w:br/>
        <w:t>（一）制定投资方案，并对所投企业进行监督、管理；</w:t>
      </w:r>
      <w:r w:rsidRPr="006340E4">
        <w:rPr>
          <w:rFonts w:ascii="微软雅黑" w:eastAsia="微软雅黑" w:hAnsi="微软雅黑" w:cs="宋体" w:hint="eastAsia"/>
          <w:color w:val="333333"/>
          <w:kern w:val="0"/>
          <w:sz w:val="27"/>
          <w:szCs w:val="27"/>
        </w:rPr>
        <w:br/>
        <w:t>（二）按基金公司章程规定向基金投资者披露基金投资运作、基金管理信息服务等信息。定期编制基金财务报告，经有资质的会计师事务所审计后，向基金董事会（持有人大会）报告；</w:t>
      </w:r>
      <w:r w:rsidRPr="006340E4">
        <w:rPr>
          <w:rFonts w:ascii="微软雅黑" w:eastAsia="微软雅黑" w:hAnsi="微软雅黑" w:cs="宋体" w:hint="eastAsia"/>
          <w:color w:val="333333"/>
          <w:kern w:val="0"/>
          <w:sz w:val="27"/>
          <w:szCs w:val="27"/>
        </w:rPr>
        <w:br/>
        <w:t>（三）基金公司章程、基金管理协议中确定的其他职责。</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基金管理人应符合以下条件：</w:t>
      </w:r>
      <w:r w:rsidRPr="006340E4">
        <w:rPr>
          <w:rFonts w:ascii="微软雅黑" w:eastAsia="微软雅黑" w:hAnsi="微软雅黑" w:cs="宋体" w:hint="eastAsia"/>
          <w:color w:val="333333"/>
          <w:kern w:val="0"/>
          <w:sz w:val="27"/>
          <w:szCs w:val="27"/>
        </w:rPr>
        <w:br/>
        <w:t>（一）在中国大陆依法设立的公司或合伙企业，实收资本不低于1000万元人民币；</w:t>
      </w:r>
      <w:r w:rsidRPr="006340E4">
        <w:rPr>
          <w:rFonts w:ascii="微软雅黑" w:eastAsia="微软雅黑" w:hAnsi="微软雅黑" w:cs="宋体" w:hint="eastAsia"/>
          <w:color w:val="333333"/>
          <w:kern w:val="0"/>
          <w:sz w:val="27"/>
          <w:szCs w:val="27"/>
        </w:rPr>
        <w:br/>
        <w:t>（二）至少有3名具备3年以上资产管理工作经验的高级管理人员；</w:t>
      </w:r>
      <w:r w:rsidRPr="006340E4">
        <w:rPr>
          <w:rFonts w:ascii="微软雅黑" w:eastAsia="微软雅黑" w:hAnsi="微软雅黑" w:cs="宋体" w:hint="eastAsia"/>
          <w:color w:val="333333"/>
          <w:kern w:val="0"/>
          <w:sz w:val="27"/>
          <w:szCs w:val="27"/>
        </w:rPr>
        <w:br/>
        <w:t>（三）产业投资基金管理人及其董事、监事、高级管理人员及其他从业人员在最近三年无重大违法行为；</w:t>
      </w:r>
      <w:r w:rsidRPr="006340E4">
        <w:rPr>
          <w:rFonts w:ascii="微软雅黑" w:eastAsia="微软雅黑" w:hAnsi="微软雅黑" w:cs="宋体" w:hint="eastAsia"/>
          <w:color w:val="333333"/>
          <w:kern w:val="0"/>
          <w:sz w:val="27"/>
          <w:szCs w:val="27"/>
        </w:rPr>
        <w:br/>
        <w:t>（四）有符合要求的营业场所、安全防范设施和与基金管理业务有关的其他设施；</w:t>
      </w:r>
      <w:r w:rsidRPr="006340E4">
        <w:rPr>
          <w:rFonts w:ascii="微软雅黑" w:eastAsia="微软雅黑" w:hAnsi="微软雅黑" w:cs="宋体" w:hint="eastAsia"/>
          <w:color w:val="333333"/>
          <w:kern w:val="0"/>
          <w:sz w:val="27"/>
          <w:szCs w:val="27"/>
        </w:rPr>
        <w:br/>
        <w:t>（五）有良好的内部治理结构和风险控制制度。</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第二十一条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基金应将基金资产委托给在中国境内设立的商业银行进行托管。基金与托管人签订托管协议，托管人按照协议约定对基金托管专户进行管理。政府出资产业投资基金托管人履行下列职责：</w:t>
      </w:r>
      <w:r w:rsidRPr="006340E4">
        <w:rPr>
          <w:rFonts w:ascii="微软雅黑" w:eastAsia="微软雅黑" w:hAnsi="微软雅黑" w:cs="宋体" w:hint="eastAsia"/>
          <w:color w:val="333333"/>
          <w:kern w:val="0"/>
          <w:sz w:val="27"/>
          <w:szCs w:val="27"/>
        </w:rPr>
        <w:br/>
        <w:t>（一）安全保管所托管基金的全部资产；</w:t>
      </w:r>
      <w:r w:rsidRPr="006340E4">
        <w:rPr>
          <w:rFonts w:ascii="微软雅黑" w:eastAsia="微软雅黑" w:hAnsi="微软雅黑" w:cs="宋体" w:hint="eastAsia"/>
          <w:color w:val="333333"/>
          <w:kern w:val="0"/>
          <w:sz w:val="27"/>
          <w:szCs w:val="27"/>
        </w:rPr>
        <w:br/>
        <w:t>（二）执行基金管理人发出的投资指令，负责基金名下的资金往来；</w:t>
      </w:r>
      <w:r w:rsidRPr="006340E4">
        <w:rPr>
          <w:rFonts w:ascii="微软雅黑" w:eastAsia="微软雅黑" w:hAnsi="微软雅黑" w:cs="宋体" w:hint="eastAsia"/>
          <w:color w:val="333333"/>
          <w:kern w:val="0"/>
          <w:sz w:val="27"/>
          <w:szCs w:val="27"/>
        </w:rPr>
        <w:br/>
        <w:t>（三）依据托管协议，发现基金管理人违反国家法律法规、基金公司章</w:t>
      </w:r>
      <w:r w:rsidRPr="006340E4">
        <w:rPr>
          <w:rFonts w:ascii="微软雅黑" w:eastAsia="微软雅黑" w:hAnsi="微软雅黑" w:cs="宋体" w:hint="eastAsia"/>
          <w:color w:val="333333"/>
          <w:kern w:val="0"/>
          <w:sz w:val="27"/>
          <w:szCs w:val="27"/>
        </w:rPr>
        <w:lastRenderedPageBreak/>
        <w:t>程或基金董事会（持有人大会）决议的，不予执行；</w:t>
      </w:r>
      <w:r w:rsidRPr="006340E4">
        <w:rPr>
          <w:rFonts w:ascii="微软雅黑" w:eastAsia="微软雅黑" w:hAnsi="微软雅黑" w:cs="宋体" w:hint="eastAsia"/>
          <w:color w:val="333333"/>
          <w:kern w:val="0"/>
          <w:sz w:val="27"/>
          <w:szCs w:val="27"/>
        </w:rPr>
        <w:br/>
        <w:t>（四）出具基金托管报告，向基金董事会（持有人大会）报告并向主管部门提交年度报告；</w:t>
      </w:r>
      <w:r w:rsidRPr="006340E4">
        <w:rPr>
          <w:rFonts w:ascii="微软雅黑" w:eastAsia="微软雅黑" w:hAnsi="微软雅黑" w:cs="宋体" w:hint="eastAsia"/>
          <w:color w:val="333333"/>
          <w:kern w:val="0"/>
          <w:sz w:val="27"/>
          <w:szCs w:val="27"/>
        </w:rPr>
        <w:br/>
        <w:t>（五）基金公司章程、基金托管协议中规定的其他职责。</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第二十二条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已登记并通过产业政策符合性审查的各级地方政府或所属部门、直属机构出资设立的产业投资基金，可以按规定取得中央各部门及其直属机构设立的政府出资产业投资基金母基金支持。</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第二十三条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已登记并通过产业政策符合性审查的政府出资产业投资基金除政府外的其他股东或有限合伙人可以按规定申请发行企业债券，扩大资本规模，增强投资能力。</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政府出资产业投资基金的投资运作和终止</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第二十四条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政府出资产业投资基金应主要投资于以下领域：</w:t>
      </w:r>
      <w:r w:rsidRPr="006340E4">
        <w:rPr>
          <w:rFonts w:ascii="微软雅黑" w:eastAsia="微软雅黑" w:hAnsi="微软雅黑" w:cs="宋体" w:hint="eastAsia"/>
          <w:color w:val="333333"/>
          <w:kern w:val="0"/>
          <w:sz w:val="27"/>
          <w:szCs w:val="27"/>
        </w:rPr>
        <w:br/>
        <w:t>（一）非基本公共服务领域。着力解决非基本公共服务结构性供需不匹配，因缺乏竞争激励机制而制约质量效率，体制机制创新不足等问题，切实提高非基本公共服务共建能力和共享水平。</w:t>
      </w:r>
      <w:r w:rsidRPr="006340E4">
        <w:rPr>
          <w:rFonts w:ascii="微软雅黑" w:eastAsia="微软雅黑" w:hAnsi="微软雅黑" w:cs="宋体" w:hint="eastAsia"/>
          <w:color w:val="333333"/>
          <w:kern w:val="0"/>
          <w:sz w:val="27"/>
          <w:szCs w:val="27"/>
        </w:rPr>
        <w:br/>
        <w:t>（二）基础设施领域。着力解决经济社会发展中偏远地区基础设施建设滞后，结构性供需不匹配等问题，提高公共产品供给质量和效率，切实推进城乡、区域、人群基本服务均等化。</w:t>
      </w:r>
      <w:r w:rsidRPr="006340E4">
        <w:rPr>
          <w:rFonts w:ascii="微软雅黑" w:eastAsia="微软雅黑" w:hAnsi="微软雅黑" w:cs="宋体" w:hint="eastAsia"/>
          <w:color w:val="333333"/>
          <w:kern w:val="0"/>
          <w:sz w:val="27"/>
          <w:szCs w:val="27"/>
        </w:rPr>
        <w:br/>
        <w:t>（三）住房保障领域。着力解决城镇住房困难家庭及新市民住房问题，完善住房保障供应方式，加快推进棚户区改造，完善保障性安居工程配套基础设施，有序推进旧住宅小区综合整治、危旧住房和非成套住房改造，切实增强政府住房保障可持续提供能力。</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lastRenderedPageBreak/>
        <w:t>（四）生态环境领域。着力解决生态环境保护中存在的污染物排放量大面广，环境污染严重，山水林田湖缺乏保护，生态损害大，生态环境脆弱、风险高等问题，切实推进生态环境质量改善。</w:t>
      </w:r>
      <w:r w:rsidRPr="006340E4">
        <w:rPr>
          <w:rFonts w:ascii="微软雅黑" w:eastAsia="微软雅黑" w:hAnsi="微软雅黑" w:cs="宋体" w:hint="eastAsia"/>
          <w:color w:val="333333"/>
          <w:kern w:val="0"/>
          <w:sz w:val="27"/>
          <w:szCs w:val="27"/>
        </w:rPr>
        <w:br/>
        <w:t>（五）区域发展领域。着力解决区域发展差距特别是东西差距拉大，城镇化仍滞后于工业化，区域产业结构趋同化等问题，落实区域合作的资金保障机制，切实推进区域协调协同发展。</w:t>
      </w:r>
      <w:r w:rsidRPr="006340E4">
        <w:rPr>
          <w:rFonts w:ascii="微软雅黑" w:eastAsia="微软雅黑" w:hAnsi="微软雅黑" w:cs="宋体" w:hint="eastAsia"/>
          <w:color w:val="333333"/>
          <w:kern w:val="0"/>
          <w:sz w:val="27"/>
          <w:szCs w:val="27"/>
        </w:rPr>
        <w:br/>
        <w:t>（六）战略性新兴产业和先进制造业领域。着力解决战略性新兴产业和先进制造业在经济社会发展中的产业政策环境不完善，供给体系质量和效率偏低，供给和需求衔接不紧密等问题，切实推进看得准、有机遇的重点技术和产业领域实现突破。</w:t>
      </w:r>
      <w:r w:rsidRPr="006340E4">
        <w:rPr>
          <w:rFonts w:ascii="微软雅黑" w:eastAsia="微软雅黑" w:hAnsi="微软雅黑" w:cs="宋体" w:hint="eastAsia"/>
          <w:color w:val="333333"/>
          <w:kern w:val="0"/>
          <w:sz w:val="27"/>
          <w:szCs w:val="27"/>
        </w:rPr>
        <w:br/>
        <w:t>（七）创业创新领域。着力解决创业创新在经济社会发展中的市场环境亟待改善，创投市场资金供给不足，企业创新动能较弱等问题，切实推进大众创业、万众创新。</w:t>
      </w:r>
      <w:r w:rsidRPr="006340E4">
        <w:rPr>
          <w:rFonts w:ascii="微软雅黑" w:eastAsia="微软雅黑" w:hAnsi="微软雅黑" w:cs="宋体" w:hint="eastAsia"/>
          <w:color w:val="333333"/>
          <w:kern w:val="0"/>
          <w:sz w:val="27"/>
          <w:szCs w:val="27"/>
        </w:rPr>
        <w:br/>
        <w:t>投资于基金章程、合伙协议或基金协议中约定产业领域的比例不得低于基金募集规模或承诺出资额的60%。</w:t>
      </w:r>
      <w:r w:rsidRPr="006340E4">
        <w:rPr>
          <w:rFonts w:ascii="微软雅黑" w:eastAsia="微软雅黑" w:hAnsi="微软雅黑" w:cs="宋体" w:hint="eastAsia"/>
          <w:color w:val="333333"/>
          <w:kern w:val="0"/>
          <w:sz w:val="27"/>
          <w:szCs w:val="27"/>
        </w:rPr>
        <w:br/>
        <w:t>国家发展改革委将根据区域规划、区域政策、产业政策、投资政策及其他国家宏观管理政策适时调整并不定期发布基金投资领域指导意见。</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第二十五条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政府出资产业投资基金应投资于：</w:t>
      </w:r>
      <w:r w:rsidRPr="006340E4">
        <w:rPr>
          <w:rFonts w:ascii="微软雅黑" w:eastAsia="微软雅黑" w:hAnsi="微软雅黑" w:cs="宋体" w:hint="eastAsia"/>
          <w:color w:val="333333"/>
          <w:kern w:val="0"/>
          <w:sz w:val="27"/>
          <w:szCs w:val="27"/>
        </w:rPr>
        <w:br/>
        <w:t>（一）未上市企业股权，包括以法人形式设立的基础设施项目、重大工程项目等未上市企业的股权；</w:t>
      </w:r>
      <w:r w:rsidRPr="006340E4">
        <w:rPr>
          <w:rFonts w:ascii="微软雅黑" w:eastAsia="微软雅黑" w:hAnsi="微软雅黑" w:cs="宋体" w:hint="eastAsia"/>
          <w:color w:val="333333"/>
          <w:kern w:val="0"/>
          <w:sz w:val="27"/>
          <w:szCs w:val="27"/>
        </w:rPr>
        <w:br/>
        <w:t>（二）参与上市公司定向增发、并购重组和私有化等股权交易形成的股份；</w:t>
      </w:r>
      <w:r w:rsidRPr="006340E4">
        <w:rPr>
          <w:rFonts w:ascii="微软雅黑" w:eastAsia="微软雅黑" w:hAnsi="微软雅黑" w:cs="宋体" w:hint="eastAsia"/>
          <w:color w:val="333333"/>
          <w:kern w:val="0"/>
          <w:sz w:val="27"/>
          <w:szCs w:val="27"/>
        </w:rPr>
        <w:br/>
      </w:r>
      <w:r w:rsidRPr="006340E4">
        <w:rPr>
          <w:rFonts w:ascii="微软雅黑" w:eastAsia="微软雅黑" w:hAnsi="微软雅黑" w:cs="宋体" w:hint="eastAsia"/>
          <w:color w:val="333333"/>
          <w:kern w:val="0"/>
          <w:sz w:val="27"/>
          <w:szCs w:val="27"/>
        </w:rPr>
        <w:lastRenderedPageBreak/>
        <w:t>（三）经基金章程、合伙协议或基金协议明确或约定的符合国家产业政策的其他投资形式。基金闲置资金只能投资于银行存款、国债、地方政府债、政策性金融债和政府支持债券等安全性和流动性较好的固定收益类资产。</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第二十六条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政府出资产业投资基金对单个企业的投资额不得超过基金资产总值的20%，且不得从事下列业务：</w:t>
      </w:r>
      <w:r w:rsidRPr="006340E4">
        <w:rPr>
          <w:rFonts w:ascii="微软雅黑" w:eastAsia="微软雅黑" w:hAnsi="微软雅黑" w:cs="宋体" w:hint="eastAsia"/>
          <w:color w:val="333333"/>
          <w:kern w:val="0"/>
          <w:sz w:val="27"/>
          <w:szCs w:val="27"/>
        </w:rPr>
        <w:br/>
        <w:t>（一）名股实债等变相增加政府债务的行为；</w:t>
      </w:r>
      <w:r w:rsidRPr="006340E4">
        <w:rPr>
          <w:rFonts w:ascii="微软雅黑" w:eastAsia="微软雅黑" w:hAnsi="微软雅黑" w:cs="宋体" w:hint="eastAsia"/>
          <w:color w:val="333333"/>
          <w:kern w:val="0"/>
          <w:sz w:val="27"/>
          <w:szCs w:val="27"/>
        </w:rPr>
        <w:br/>
        <w:t>（二）公开交易类股票投资，但以并购重组为目的的除外；</w:t>
      </w:r>
      <w:r w:rsidRPr="006340E4">
        <w:rPr>
          <w:rFonts w:ascii="微软雅黑" w:eastAsia="微软雅黑" w:hAnsi="微软雅黑" w:cs="宋体" w:hint="eastAsia"/>
          <w:color w:val="333333"/>
          <w:kern w:val="0"/>
          <w:sz w:val="27"/>
          <w:szCs w:val="27"/>
        </w:rPr>
        <w:br/>
        <w:t>（三）直接或间接从事期货等衍生品交易；</w:t>
      </w:r>
      <w:r w:rsidRPr="006340E4">
        <w:rPr>
          <w:rFonts w:ascii="微软雅黑" w:eastAsia="微软雅黑" w:hAnsi="微软雅黑" w:cs="宋体" w:hint="eastAsia"/>
          <w:color w:val="333333"/>
          <w:kern w:val="0"/>
          <w:sz w:val="27"/>
          <w:szCs w:val="27"/>
        </w:rPr>
        <w:br/>
        <w:t>（四）为企业提供担保，但为被投资企业提供担保的除外；</w:t>
      </w:r>
      <w:r w:rsidRPr="006340E4">
        <w:rPr>
          <w:rFonts w:ascii="微软雅黑" w:eastAsia="微软雅黑" w:hAnsi="微软雅黑" w:cs="宋体" w:hint="eastAsia"/>
          <w:color w:val="333333"/>
          <w:kern w:val="0"/>
          <w:sz w:val="27"/>
          <w:szCs w:val="27"/>
        </w:rPr>
        <w:br/>
        <w:t>（五）承担无限责任的投资。</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第二十七条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政府出资产业投资基金应在章程、委托管理协议等法律文件中，明确基金的分配方式、业绩报酬、管理费用和托管费用标准。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第二十八条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政府出资产业投资基金章程应当加强被投资企业的资金使用监管，防范财务风险。</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第二十九条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基金一般应在存续期满后终止，确需延长存续期的，应报经政府基金设立批准部门同意后，与其他投资方按约定办理。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政府出资产业投资基金的绩效评价</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国家发展改革委建立并完善政府出资产业投资基金绩效评价指标体系。评价指标主要包括：</w:t>
      </w:r>
      <w:r w:rsidRPr="006340E4">
        <w:rPr>
          <w:rFonts w:ascii="微软雅黑" w:eastAsia="微软雅黑" w:hAnsi="微软雅黑" w:cs="宋体" w:hint="eastAsia"/>
          <w:color w:val="333333"/>
          <w:kern w:val="0"/>
          <w:sz w:val="27"/>
          <w:szCs w:val="27"/>
        </w:rPr>
        <w:br/>
        <w:t>（一）基金实缴资本占认缴资本的比例；</w:t>
      </w:r>
      <w:r w:rsidRPr="006340E4">
        <w:rPr>
          <w:rFonts w:ascii="微软雅黑" w:eastAsia="微软雅黑" w:hAnsi="微软雅黑" w:cs="宋体" w:hint="eastAsia"/>
          <w:color w:val="333333"/>
          <w:kern w:val="0"/>
          <w:sz w:val="27"/>
          <w:szCs w:val="27"/>
        </w:rPr>
        <w:br/>
        <w:t>（二）基金投向是否符合区域规划、区域政策、产业政策、投资政策及</w:t>
      </w:r>
      <w:r w:rsidRPr="006340E4">
        <w:rPr>
          <w:rFonts w:ascii="微软雅黑" w:eastAsia="微软雅黑" w:hAnsi="微软雅黑" w:cs="宋体" w:hint="eastAsia"/>
          <w:color w:val="333333"/>
          <w:kern w:val="0"/>
          <w:sz w:val="27"/>
          <w:szCs w:val="27"/>
        </w:rPr>
        <w:lastRenderedPageBreak/>
        <w:t>其他国家宏观管理政策，综合评估政府资金的引导作用和放大效应、资金使用效率及对所投产业的拉动效果等；</w:t>
      </w:r>
      <w:r w:rsidRPr="006340E4">
        <w:rPr>
          <w:rFonts w:ascii="微软雅黑" w:eastAsia="微软雅黑" w:hAnsi="微软雅黑" w:cs="宋体" w:hint="eastAsia"/>
          <w:color w:val="333333"/>
          <w:kern w:val="0"/>
          <w:sz w:val="27"/>
          <w:szCs w:val="27"/>
        </w:rPr>
        <w:br/>
        <w:t>（三）基金投资是否存在名股实债等变相增加政府债务的行为；</w:t>
      </w:r>
      <w:r w:rsidRPr="006340E4">
        <w:rPr>
          <w:rFonts w:ascii="微软雅黑" w:eastAsia="微软雅黑" w:hAnsi="微软雅黑" w:cs="宋体" w:hint="eastAsia"/>
          <w:color w:val="333333"/>
          <w:kern w:val="0"/>
          <w:sz w:val="27"/>
          <w:szCs w:val="27"/>
        </w:rPr>
        <w:br/>
        <w:t>（四）是否存在违反法律、行政法规等行为。</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第三十一条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每年根据评价指标对政府出资产业投资基金绩效进行系统性评分，并将评分结果适当予以公告。有关评价办法由国家发展改革委另行制定。金融机构可以根据评分结果对登记的政府出资产业投资基金给予差异化的信贷政策。</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第三十二条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国家发展改革委建立并完善基金管理人绩效评价指标体系。评价指标主要包括：</w:t>
      </w:r>
      <w:r w:rsidRPr="006340E4">
        <w:rPr>
          <w:rFonts w:ascii="微软雅黑" w:eastAsia="微软雅黑" w:hAnsi="微软雅黑" w:cs="宋体" w:hint="eastAsia"/>
          <w:color w:val="333333"/>
          <w:kern w:val="0"/>
          <w:sz w:val="27"/>
          <w:szCs w:val="27"/>
        </w:rPr>
        <w:br/>
        <w:t>（一）基金管理人实际管理的资产总规模；</w:t>
      </w:r>
      <w:r w:rsidRPr="006340E4">
        <w:rPr>
          <w:rFonts w:ascii="微软雅黑" w:eastAsia="微软雅黑" w:hAnsi="微软雅黑" w:cs="宋体" w:hint="eastAsia"/>
          <w:color w:val="333333"/>
          <w:kern w:val="0"/>
          <w:sz w:val="27"/>
          <w:szCs w:val="27"/>
        </w:rPr>
        <w:br/>
        <w:t>（二）基金管理人过往投资业绩；</w:t>
      </w:r>
      <w:r w:rsidRPr="006340E4">
        <w:rPr>
          <w:rFonts w:ascii="微软雅黑" w:eastAsia="微软雅黑" w:hAnsi="微软雅黑" w:cs="宋体" w:hint="eastAsia"/>
          <w:color w:val="333333"/>
          <w:kern w:val="0"/>
          <w:sz w:val="27"/>
          <w:szCs w:val="27"/>
        </w:rPr>
        <w:br/>
        <w:t>（三）基金管理人过往投资领域是否符合政府产业政策导向；</w:t>
      </w:r>
      <w:r w:rsidRPr="006340E4">
        <w:rPr>
          <w:rFonts w:ascii="微软雅黑" w:eastAsia="微软雅黑" w:hAnsi="微软雅黑" w:cs="宋体" w:hint="eastAsia"/>
          <w:color w:val="333333"/>
          <w:kern w:val="0"/>
          <w:sz w:val="27"/>
          <w:szCs w:val="27"/>
        </w:rPr>
        <w:br/>
        <w:t>（四）基金管理人管理的基金运作是否存在公开宣传、向非合格机构投资者销售、违反职业道德底线等违规行为；</w:t>
      </w:r>
      <w:r w:rsidRPr="006340E4">
        <w:rPr>
          <w:rFonts w:ascii="微软雅黑" w:eastAsia="微软雅黑" w:hAnsi="微软雅黑" w:cs="宋体" w:hint="eastAsia"/>
          <w:color w:val="333333"/>
          <w:kern w:val="0"/>
          <w:sz w:val="27"/>
          <w:szCs w:val="27"/>
        </w:rPr>
        <w:br/>
        <w:t>（五）基金管理人及其管理团队是否受到监管机构的行政处罚，是否被纳入全国信用信息共享平台失信名单；</w:t>
      </w:r>
      <w:r w:rsidRPr="006340E4">
        <w:rPr>
          <w:rFonts w:ascii="微软雅黑" w:eastAsia="微软雅黑" w:hAnsi="微软雅黑" w:cs="宋体" w:hint="eastAsia"/>
          <w:color w:val="333333"/>
          <w:kern w:val="0"/>
          <w:sz w:val="27"/>
          <w:szCs w:val="27"/>
        </w:rPr>
        <w:br/>
        <w:t>（六）是否存在违反法律、行政法规等行为。</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第三十三条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国家发展改革委每年根据评价指标对基金管理人绩效进行系统性评分，并将评分结果适当予以公告。有关评价办法由国家发展改革委另行制定。各级政府部门可以根据评分结果选择基金管理人。</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第五章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政府出资产业投资基金行业信用建设</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lastRenderedPageBreak/>
        <w:t>第三十四条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国家发展改革委会同有关部门加强政府出资产业投资基金行业信用体系建设，在政府出资产业投资基金信用信息登记系统建立基金、基金管理人和从业人员信用记录，并纳入全国信用信息共享平台。</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第三十五条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地方发展改革部门会同地方有关部门负责区域内政府出资产业投资基金行业信用体系建设，并通过政府出资产业投资基金信用信息登记系统报送基金、基金管理人和从业人员有关信息。报送内容包括但不限于工商信息、行业信息、经营信息和风险信息等。</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第三十六条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对有不良信用记录的基金、基金管理人和从业人员，国家发展改革委通过“信用中国”网站统一向社会公布。地方发展改革部门可以根据各地实际情况，将区域内失信基金、基金管理人和从业人员名单以适当方式予以公告。</w:t>
      </w:r>
      <w:r w:rsidRPr="006340E4">
        <w:rPr>
          <w:rFonts w:ascii="微软雅黑" w:eastAsia="微软雅黑" w:hAnsi="微软雅黑" w:cs="宋体" w:hint="eastAsia"/>
          <w:color w:val="333333"/>
          <w:kern w:val="0"/>
          <w:sz w:val="27"/>
          <w:szCs w:val="27"/>
        </w:rPr>
        <w:br/>
        <w:t>发展改革部门会同有关部门依据所适用的法律法规及多部门签署的联合惩戒备忘录等对列入失信联合惩戒名单的基金、基金管理人和从业人员开展联合惩戒，惩戒措施包括但不限于市场禁入、限制作为供应商参加政府采购活动、限制财政补助补贴性资金支持、从严审核发行企业债券等。</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第三十七条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在“信用中国”网站设立政府出资产业投资基金行业信用建设专栏，公布失信基金、基金管理人和从业人员名单，及时更新名单目录及惩戒处罚等信息，并开展联合惩戒的跟踪、监测、统计和评估工作。</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第六章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政府出资产业投资基金的监督管理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第三十八条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国家发展改革委会同地方发展改革部门严格履行基金的信</w:t>
      </w:r>
      <w:r w:rsidRPr="006340E4">
        <w:rPr>
          <w:rFonts w:ascii="微软雅黑" w:eastAsia="微软雅黑" w:hAnsi="微软雅黑" w:cs="宋体" w:hint="eastAsia"/>
          <w:color w:val="333333"/>
          <w:kern w:val="0"/>
          <w:sz w:val="27"/>
          <w:szCs w:val="27"/>
        </w:rPr>
        <w:lastRenderedPageBreak/>
        <w:t>用信息监管责任，建立健全政府出资产业投资基金信用信息登记系统，建立完善政府出资产业投资基金绩效评价制度，加快推进政府出资产业投资基金行业信用体系建设，加强对政府出资产业投资基金的监督管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第三十九条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对未登记的政府出资产业投资基金及其受托管理机构，发展改革部门应当督促其在二十个工作日内申请办理登记。逾期未登记的，将其作为“规避登记政府出资产业投资基金”、“规避登记受托管理机构”，并以适当方式予以公告。</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中央各部门及其直属机构出资设立的产业投资基金的基金管理人应当于每个会计年度结束后四个月内，向国家发展改革委提交基金及基金管理人的年度业务报告、经有资质的会计师事务所审计的年度财务报告和托管报告，并及时报告投资运作过程中的重大事项。</w:t>
      </w:r>
      <w:r w:rsidRPr="006340E4">
        <w:rPr>
          <w:rFonts w:ascii="微软雅黑" w:eastAsia="微软雅黑" w:hAnsi="微软雅黑" w:cs="宋体" w:hint="eastAsia"/>
          <w:color w:val="333333"/>
          <w:kern w:val="0"/>
          <w:sz w:val="27"/>
          <w:szCs w:val="27"/>
        </w:rPr>
        <w:br/>
        <w:t>地方政府或所属部门、直属机构出资设立的产业投资基金的基金管理人应当于每个会计年度结束后四个月内，向本级发展改革部门提交基金及基金管理人的年度业务报告、经有资质的会计师事务所审计的年度财务报告和托管报告，并及时报告投资运作过程中的重大事项。</w:t>
      </w:r>
      <w:r w:rsidRPr="006340E4">
        <w:rPr>
          <w:rFonts w:ascii="微软雅黑" w:eastAsia="微软雅黑" w:hAnsi="微软雅黑" w:cs="宋体" w:hint="eastAsia"/>
          <w:color w:val="333333"/>
          <w:kern w:val="0"/>
          <w:sz w:val="27"/>
          <w:szCs w:val="27"/>
        </w:rPr>
        <w:br/>
        <w:t>重大事项包括但不限于公司章程修订、资本增减、高级管理人员变更、合并、清算等。</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第四十一条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发展改革部门通过现场和非现场“双随机”抽查，会同有关部门对政府出资产业投资基金进行业务指导，促进基金规范运作，有效防范风险。基金有关当事人应积极配合有关部门对政府出资产业投资基金合规性审查，提供有关文件、账簿及其他资料，不得以任何理由阻扰、拒绝检查。</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lastRenderedPageBreak/>
        <w:t>第四十二条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对未按本办法规范运作的政府出资产业投资基金及其基金管理机构、托管机构，发展改革部门可以会同有关部门出具监管建议函，视情节轻重对其采取责令改正、监管谈话、出具警示函、取消登记等措施，并适当予以公告。</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第四十三条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建立政府出资产业投资基金重大项目稽察制度，健全政府投资责任追究制度。完善社会监督机制，鼓励公众和媒体监督。</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第四十四条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各级发展改革部门应当自觉接受审计、监察等部门依据职能分工进行的监督检查。各级发展改革部门工作人员有徇私舞弊、滥用职权、弄虚作假、玩忽职守、未依法履行职责的，依法给予处分；构成犯罪的，依法追究刑事责任。</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第七章</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附</w:t>
      </w:r>
      <w:r w:rsidRPr="006340E4">
        <w:rPr>
          <w:rFonts w:cs="宋体" w:hint="eastAsia"/>
          <w:b/>
          <w:bCs/>
          <w:color w:val="333333"/>
          <w:kern w:val="0"/>
          <w:sz w:val="27"/>
          <w:szCs w:val="27"/>
        </w:rPr>
        <w:t xml:space="preserve">  </w:t>
      </w:r>
      <w:r w:rsidRPr="006340E4">
        <w:rPr>
          <w:rFonts w:cs="宋体" w:hint="eastAsia"/>
          <w:b/>
          <w:bCs/>
          <w:color w:val="333333"/>
          <w:kern w:val="0"/>
          <w:sz w:val="27"/>
          <w:szCs w:val="27"/>
        </w:rPr>
        <w:t>则</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第四十五条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本办法由国家发展改革委负责解释。</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第四十六条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政府出资产业投资基金投资境外企业，按照境外投资有关规定办理。</w:t>
      </w:r>
      <w:r w:rsidRPr="006340E4">
        <w:rPr>
          <w:rFonts w:ascii="微软雅黑" w:eastAsia="微软雅黑" w:hAnsi="微软雅黑" w:cs="宋体" w:hint="eastAsia"/>
          <w:color w:val="333333"/>
          <w:kern w:val="0"/>
          <w:sz w:val="27"/>
          <w:szCs w:val="27"/>
        </w:rPr>
        <w:br/>
      </w:r>
      <w:r w:rsidRPr="006340E4">
        <w:rPr>
          <w:rFonts w:cs="宋体" w:hint="eastAsia"/>
          <w:b/>
          <w:bCs/>
          <w:color w:val="333333"/>
          <w:kern w:val="0"/>
          <w:sz w:val="27"/>
          <w:szCs w:val="27"/>
        </w:rPr>
        <w:t>第四十七条</w:t>
      </w:r>
      <w:r w:rsidRPr="006340E4">
        <w:rPr>
          <w:rFonts w:cs="宋体" w:hint="eastAsia"/>
          <w:b/>
          <w:bCs/>
          <w:color w:val="333333"/>
          <w:kern w:val="0"/>
          <w:sz w:val="27"/>
          <w:szCs w:val="27"/>
        </w:rPr>
        <w:t>  </w:t>
      </w:r>
      <w:r w:rsidRPr="006340E4">
        <w:rPr>
          <w:rFonts w:ascii="微软雅黑" w:eastAsia="微软雅黑" w:hAnsi="微软雅黑" w:cs="宋体" w:hint="eastAsia"/>
          <w:color w:val="333333"/>
          <w:kern w:val="0"/>
          <w:sz w:val="27"/>
          <w:szCs w:val="27"/>
        </w:rPr>
        <w:t>本办法自2017年4月1日起施行，具体登记办法由国家发展改革委另行制定。本办法施行前设立的政府出资产业投资基金及其受托管理机构，应当在本办法施行后两个月内按照本办法有关规定到发展改革部门登记。</w:t>
      </w:r>
    </w:p>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Pr>
        <w:pStyle w:val="3"/>
        <w:jc w:val="center"/>
        <w:rPr>
          <w:sz w:val="30"/>
          <w:szCs w:val="30"/>
        </w:rPr>
      </w:pPr>
      <w:bookmarkStart w:id="53" w:name="_Toc12864213"/>
      <w:r w:rsidRPr="006340E4">
        <w:rPr>
          <w:rFonts w:hint="eastAsia"/>
          <w:sz w:val="30"/>
          <w:szCs w:val="30"/>
        </w:rPr>
        <w:lastRenderedPageBreak/>
        <w:t>国家发展改革委</w:t>
      </w:r>
      <w:r w:rsidRPr="006340E4">
        <w:rPr>
          <w:rFonts w:hint="eastAsia"/>
          <w:sz w:val="30"/>
          <w:szCs w:val="30"/>
        </w:rPr>
        <w:t xml:space="preserve"> </w:t>
      </w:r>
      <w:r w:rsidRPr="006340E4">
        <w:rPr>
          <w:rFonts w:hint="eastAsia"/>
          <w:sz w:val="30"/>
          <w:szCs w:val="30"/>
        </w:rPr>
        <w:t>中国证监会关于推进传统基础设施领域政府和社会资本合作（</w:t>
      </w:r>
      <w:r w:rsidRPr="006340E4">
        <w:rPr>
          <w:rFonts w:hint="eastAsia"/>
          <w:sz w:val="30"/>
          <w:szCs w:val="30"/>
        </w:rPr>
        <w:t>PPP</w:t>
      </w:r>
      <w:r w:rsidRPr="006340E4">
        <w:rPr>
          <w:rFonts w:hint="eastAsia"/>
          <w:sz w:val="30"/>
          <w:szCs w:val="30"/>
        </w:rPr>
        <w:t>）项目资产证券化相关工作的通知（发改投资〔</w:t>
      </w:r>
      <w:r w:rsidRPr="006340E4">
        <w:rPr>
          <w:rFonts w:hint="eastAsia"/>
          <w:sz w:val="30"/>
          <w:szCs w:val="30"/>
        </w:rPr>
        <w:t>2016</w:t>
      </w:r>
      <w:r w:rsidRPr="006340E4">
        <w:rPr>
          <w:rFonts w:hint="eastAsia"/>
          <w:sz w:val="30"/>
          <w:szCs w:val="30"/>
        </w:rPr>
        <w:t>〕</w:t>
      </w:r>
      <w:r w:rsidRPr="006340E4">
        <w:rPr>
          <w:rFonts w:hint="eastAsia"/>
          <w:sz w:val="30"/>
          <w:szCs w:val="30"/>
        </w:rPr>
        <w:t>2698</w:t>
      </w:r>
      <w:r w:rsidRPr="006340E4">
        <w:rPr>
          <w:rFonts w:hint="eastAsia"/>
          <w:sz w:val="30"/>
          <w:szCs w:val="30"/>
        </w:rPr>
        <w:t>号）</w:t>
      </w:r>
      <w:bookmarkEnd w:id="53"/>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各省、自治区、直辖市、计划单列市发展改革委，新疆生产建设兵团发展改革委，中国证监会各派出机构，上海证券交易所、深圳证券交易所，中国证券业协会，中国证券投资基金业协会：</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为贯彻落实《中共中央 国务院关于深化投融资体制改革的意见》（中发〔2016〕18号）、《国务院关于创新重点领域投融资机制鼓励社会投资的指导意见》（国发〔2014〕60号）等文件精神，推动政府和社会资本合作（PPP）项目融资方式创新，更好吸引社会资本参与，现就推进传统基础设施领域PPP项目资产证券化工作通知如下。</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一、充分认识PPP项目资产证券化的重要意义</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一）PPP项目资产证券化是保障PPP持续健康发展的重要机制。资产证券化是基础设施领域重要融资方式之一，对盘活PPP项目存量资产、加快社会投资者的资金回收、吸引更多社会资本参与PPP项目建设具有重要意义。各省级发展改革委与中国证监会当地派出机构及上海、深圳证券交易所等单位应加强合作，充分依托资本市场，积极推进符合条件的PPP项目通过资产证券化方式实现市场化融资，提高资金使用效率，更好地支持传统基础设施项目建设。</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二、各省级发展改革部门应大力推动传统基础设施领域PPP项目资产证券化</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lastRenderedPageBreak/>
        <w:t xml:space="preserve">　　（二）明确重点推动资产证券化的PPP项目范围。各省级发展改革委应当会同相关行业主管部门，重点推动符合下列条件的PPP项目在上海证券交易所、深圳证券交易所开展资产证券化融资：一是项目已严格履行审批、核准、备案手续和实施方案审查审批程序，并签订规范有效的PPP项目合同，政府、社会资本及项目各参与方合作顺畅；二是项目工程建设质量符合相关标准，能持续安全稳定运营，项目履约能力较强；三是项目已建成并正常运营2年以上，已建立合理的投资回报机制，并已产生持续、稳定的现金流；四是原始权益人信用稳健，内部控制制度健全，具有持续经营能力，最近三年未发生重大违约或虚假信息披露，无不良信用记录。</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三）优先鼓励符合国家发展战略的PPP项目开展资产证券化。各省级发展改革委应当优先选取主要社会资本参与方为行业龙头企业，处于市场发育程度高、政府负债水平低、社会资本相对充裕的地区，以及具有稳定投资收益和良好社会效益的优质PPP项目开展资产证券化示范工作。鼓励支持“一带一路”建设、京津冀协同发展、长江经济带建设，以及新一轮东北地区等老工业基地振兴等国家发展战略的项目开展资产证券化。</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四）积极做好PPP项目管理和配合资产证券化尽职调查等工作。项目实施单位要严格执行PPP项目合同，保障项目实施质量，切实履行资产证券化法律文件约定的基础资产移交与隔离、现金流归集、信息披露、提供增信措施等相关义务，并积极配合相关中介机构做好PPP</w:t>
      </w:r>
      <w:r w:rsidRPr="006340E4">
        <w:rPr>
          <w:rFonts w:ascii="微软雅黑" w:eastAsia="微软雅黑" w:hAnsi="微软雅黑" w:cs="宋体" w:hint="eastAsia"/>
          <w:color w:val="333333"/>
          <w:kern w:val="0"/>
          <w:sz w:val="27"/>
          <w:szCs w:val="27"/>
        </w:rPr>
        <w:lastRenderedPageBreak/>
        <w:t>项目资产证券化业务尽职调查。各地发展改革部门和相关行业主管部门等要按职责分工加强监督管理，督促项目实施单位做好相关工作。</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三、证券监管部门及自律组织应积极支持PPP项目资产证券化</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五）着力优化PPP项目资产证券化审核程序。上海证券交易所、深圳证券交易所、中国证券投资基金业协会应按照规定对申报的PPP项目资产证券化产品进行审核、备案和持续监管。证券交易所、中国证券投资基金业协会等单位应建立专门的业务受理、审核及备案绿色通道，专人专岗负责，提高国家发展改革委优选的PPP项目相关资产证券化产品审核、挂牌和备案的工作效率。</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六）引导市场主体建立合规风控体系。中国证监会系统相关单位应积极配合发展改革部门加大PPP项目资产证券化业务的宣传和培训力度，普及资产证券化业务规则及监管要求等相关知识，推动PPP项目相关责任方建立健全资产证券化业务的合规、风控与管理体系。</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七）鼓励中介机构依法合规开展PPP项目资产证券化业务。中国证监会鼓励支持相关中介机构积极参与PPP项目资产证券化业务，并督促其勤勉尽责，严格遵守执业规范和监管要求，切实履行尽职调查、保障基础资产安全、现金流归集、收益分配、信息披露等管理人职责，在强化内部控制与风险管理的基础上，不断提高执业质量和服务能力。</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四、营造良好的政策环境</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（八）共同培育和积极引进多元化投资者。国家发展改革委与中国证监会将共同努力，积极引入城镇化建设基金、基础设施投资基金、产业投资基金、不动产基金以及证券投资基金、证券资产管理产品等各类</w:t>
      </w:r>
      <w:r w:rsidRPr="006340E4">
        <w:rPr>
          <w:rFonts w:ascii="微软雅黑" w:eastAsia="微软雅黑" w:hAnsi="微软雅黑" w:cs="宋体" w:hint="eastAsia"/>
          <w:color w:val="333333"/>
          <w:kern w:val="0"/>
          <w:sz w:val="27"/>
          <w:szCs w:val="27"/>
        </w:rPr>
        <w:lastRenderedPageBreak/>
        <w:t>市场资金投资PPP项目资产证券化产品，推进建立多元化、可持续的PPP项目资产证券化的资金支持机制。中国证监会将积极研究推出主要投资于资产支持证券的证券投资基金，并会同国家发展改革委及有关部门共同推动不动产投资信托基金（REITs），进一步支持传统基础设施项目建设。</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九）建立完善沟通协作机制。国家发展改革委与中国证监会将加强沟通协作，及时共享PPP项目信息，协调解决资产证券化过程中存在的问题与困难。中国证监会、国家发展改革委及相关部门将共同推动建立针对PPP项目资产证券化的风险监测、违约处置机制和市场化增信机制，研究完善相关信息披露及存续期管理要求，确保资产证券化的PPP项目信息披露公开透明，项目有序实施，接受社会和市场监督。各省级发展改革委与中国证监会当地派出机构应当建立信息共享及违约处置的联席工作机制，推动PPP项目证券化产品稳定运营。</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五、近期工作安排</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请各省级发展改革委于2017年2月17日前，推荐1－3个首批拟进行证券化融资的传统基础设施领域PPP项目，正式行文报送国家发展改革委。国家发展改革委将从中选取符合条件的PPP项目，加强支持辅导，力争尽快发行PPP项目证券化产品，并及时总结经验、交流推广。</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xml:space="preserve">　　请中国证监会各派出机构、上海证券交易所、深圳证券交易所、中国证券业协会、中国证券投资基金业协会等有关部门单位做好支持配合工作，推动传统基础设施领域PPP项目资产证券化融资平稳健康发展，</w:t>
      </w:r>
      <w:r w:rsidRPr="006340E4">
        <w:rPr>
          <w:rFonts w:ascii="微软雅黑" w:eastAsia="微软雅黑" w:hAnsi="微软雅黑" w:cs="宋体" w:hint="eastAsia"/>
          <w:color w:val="333333"/>
          <w:kern w:val="0"/>
          <w:sz w:val="27"/>
          <w:szCs w:val="27"/>
        </w:rPr>
        <w:lastRenderedPageBreak/>
        <w:t>并依据传统基础设施领域PPP项目资产证券化执行情况，不断完善资产证券化备案及负面清单管理。</w:t>
      </w:r>
    </w:p>
    <w:p w:rsidR="006340E4" w:rsidRPr="006340E4" w:rsidRDefault="006340E4" w:rsidP="006340E4">
      <w:pPr>
        <w:widowControl/>
        <w:shd w:val="clear" w:color="auto" w:fill="EDEDED"/>
        <w:jc w:val="left"/>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 </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国家发展改革委</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中 国 证 监 会</w:t>
      </w:r>
    </w:p>
    <w:p w:rsidR="006340E4" w:rsidRPr="006340E4" w:rsidRDefault="006340E4" w:rsidP="006340E4">
      <w:pPr>
        <w:widowControl/>
        <w:shd w:val="clear" w:color="auto" w:fill="EDEDED"/>
        <w:jc w:val="center"/>
        <w:rPr>
          <w:rFonts w:ascii="微软雅黑" w:eastAsia="微软雅黑" w:hAnsi="微软雅黑" w:cs="宋体"/>
          <w:color w:val="333333"/>
          <w:kern w:val="0"/>
          <w:sz w:val="27"/>
          <w:szCs w:val="27"/>
        </w:rPr>
      </w:pPr>
      <w:r w:rsidRPr="006340E4">
        <w:rPr>
          <w:rFonts w:ascii="微软雅黑" w:eastAsia="微软雅黑" w:hAnsi="微软雅黑" w:cs="宋体" w:hint="eastAsia"/>
          <w:color w:val="333333"/>
          <w:kern w:val="0"/>
          <w:sz w:val="27"/>
          <w:szCs w:val="27"/>
        </w:rPr>
        <w:t>2016年12月21日</w:t>
      </w:r>
    </w:p>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 w:rsidR="006340E4" w:rsidRDefault="006340E4" w:rsidP="006340E4">
      <w:pPr>
        <w:pStyle w:val="3"/>
        <w:jc w:val="center"/>
        <w:rPr>
          <w:sz w:val="30"/>
          <w:szCs w:val="30"/>
        </w:rPr>
      </w:pPr>
      <w:bookmarkStart w:id="54" w:name="_Toc12864214"/>
      <w:r w:rsidRPr="006340E4">
        <w:rPr>
          <w:rFonts w:hint="eastAsia"/>
          <w:sz w:val="30"/>
          <w:szCs w:val="30"/>
        </w:rPr>
        <w:lastRenderedPageBreak/>
        <w:t>国家发展改革委办公厅关于印发《市场化银行债</w:t>
      </w:r>
      <w:r>
        <w:rPr>
          <w:rFonts w:hint="eastAsia"/>
          <w:sz w:val="30"/>
          <w:szCs w:val="30"/>
        </w:rPr>
        <w:t>权</w:t>
      </w:r>
      <w:r w:rsidRPr="006340E4">
        <w:rPr>
          <w:rFonts w:hint="eastAsia"/>
          <w:sz w:val="30"/>
          <w:szCs w:val="30"/>
        </w:rPr>
        <w:t>转股权专项债券发行指引》的通知（发改办财金〔</w:t>
      </w:r>
      <w:r w:rsidRPr="006340E4">
        <w:rPr>
          <w:rFonts w:hint="eastAsia"/>
          <w:sz w:val="30"/>
          <w:szCs w:val="30"/>
        </w:rPr>
        <w:t>2016</w:t>
      </w:r>
      <w:r w:rsidRPr="006340E4">
        <w:rPr>
          <w:rFonts w:hint="eastAsia"/>
          <w:sz w:val="30"/>
          <w:szCs w:val="30"/>
        </w:rPr>
        <w:t>〕</w:t>
      </w:r>
      <w:r w:rsidRPr="006340E4">
        <w:rPr>
          <w:rFonts w:hint="eastAsia"/>
          <w:sz w:val="30"/>
          <w:szCs w:val="30"/>
        </w:rPr>
        <w:t>2735</w:t>
      </w:r>
      <w:r w:rsidRPr="006340E4">
        <w:rPr>
          <w:rFonts w:hint="eastAsia"/>
          <w:sz w:val="30"/>
          <w:szCs w:val="30"/>
        </w:rPr>
        <w:t>号）</w:t>
      </w:r>
      <w:bookmarkEnd w:id="54"/>
    </w:p>
    <w:p w:rsidR="006340E4" w:rsidRPr="0074797D" w:rsidRDefault="006340E4" w:rsidP="0074797D">
      <w:pPr>
        <w:widowControl/>
        <w:shd w:val="clear" w:color="auto" w:fill="FFFFFF"/>
        <w:jc w:val="right"/>
        <w:rPr>
          <w:rFonts w:ascii="微软雅黑" w:eastAsia="微软雅黑" w:hAnsi="微软雅黑" w:cs="宋体"/>
          <w:color w:val="333333"/>
          <w:kern w:val="0"/>
          <w:sz w:val="27"/>
          <w:szCs w:val="27"/>
        </w:rPr>
      </w:pPr>
      <w:r w:rsidRPr="0074797D">
        <w:rPr>
          <w:rFonts w:ascii="微软雅黑" w:eastAsia="微软雅黑" w:hAnsi="微软雅黑" w:cs="宋体"/>
          <w:color w:val="333333"/>
          <w:kern w:val="0"/>
          <w:sz w:val="27"/>
          <w:szCs w:val="27"/>
        </w:rPr>
        <w:t>各省、自治区、直辖市及计划单列市、新疆生产建设兵团发展改革委：</w:t>
      </w:r>
    </w:p>
    <w:p w:rsidR="006340E4" w:rsidRDefault="006340E4" w:rsidP="0074797D">
      <w:pPr>
        <w:widowControl/>
        <w:shd w:val="clear" w:color="auto" w:fill="FFFFFF"/>
        <w:jc w:val="right"/>
        <w:rPr>
          <w:rFonts w:ascii="微软雅黑" w:eastAsia="微软雅黑" w:hAnsi="微软雅黑" w:cs="宋体"/>
          <w:color w:val="333333"/>
          <w:kern w:val="0"/>
          <w:sz w:val="27"/>
          <w:szCs w:val="27"/>
        </w:rPr>
      </w:pPr>
      <w:r w:rsidRPr="0074797D">
        <w:rPr>
          <w:rFonts w:ascii="微软雅黑" w:eastAsia="微软雅黑" w:hAnsi="微软雅黑" w:cs="宋体"/>
          <w:color w:val="333333"/>
          <w:kern w:val="0"/>
          <w:sz w:val="27"/>
          <w:szCs w:val="27"/>
        </w:rPr>
        <w:t>为贯彻落实《国务院关于积极稳妥降低企业杠杆率的意见》（国发[2016]54号）精神，积极发挥企业债券融资对积极稳妥降低企业杠杆率的作用，有序推进市场化银行债权转股权工作，现将我委制定的《市场化银行债权转股权专项债券发行指引》印发你们，请认真贯彻执行。</w:t>
      </w:r>
    </w:p>
    <w:p w:rsidR="0074797D" w:rsidRPr="0074797D" w:rsidRDefault="0074797D" w:rsidP="0074797D">
      <w:pPr>
        <w:widowControl/>
        <w:shd w:val="clear" w:color="auto" w:fill="FFFFFF"/>
        <w:jc w:val="right"/>
        <w:rPr>
          <w:rFonts w:ascii="微软雅黑" w:eastAsia="微软雅黑" w:hAnsi="微软雅黑" w:cs="宋体"/>
          <w:color w:val="333333"/>
          <w:kern w:val="0"/>
          <w:sz w:val="27"/>
          <w:szCs w:val="27"/>
        </w:rPr>
      </w:pPr>
    </w:p>
    <w:p w:rsidR="006340E4" w:rsidRPr="0074797D" w:rsidRDefault="006340E4" w:rsidP="0074797D">
      <w:pPr>
        <w:widowControl/>
        <w:shd w:val="clear" w:color="auto" w:fill="FFFFFF"/>
        <w:jc w:val="left"/>
        <w:rPr>
          <w:rFonts w:ascii="微软雅黑" w:eastAsia="微软雅黑" w:hAnsi="微软雅黑" w:cs="宋体"/>
          <w:color w:val="333333"/>
          <w:kern w:val="0"/>
          <w:sz w:val="27"/>
          <w:szCs w:val="27"/>
        </w:rPr>
      </w:pPr>
      <w:r w:rsidRPr="0074797D">
        <w:rPr>
          <w:rFonts w:ascii="微软雅黑" w:eastAsia="微软雅黑" w:hAnsi="微软雅黑" w:cs="宋体"/>
          <w:color w:val="333333"/>
          <w:kern w:val="0"/>
          <w:sz w:val="27"/>
          <w:szCs w:val="27"/>
        </w:rPr>
        <w:t>附件：市场化银行债权转股权专项债券发行指引</w:t>
      </w:r>
    </w:p>
    <w:p w:rsidR="006340E4" w:rsidRPr="006340E4" w:rsidRDefault="006340E4" w:rsidP="006340E4">
      <w:pPr>
        <w:widowControl/>
        <w:shd w:val="clear" w:color="auto" w:fill="FFFFFF"/>
        <w:spacing w:before="151" w:after="432"/>
        <w:jc w:val="left"/>
        <w:rPr>
          <w:rFonts w:ascii="Arial" w:eastAsia="宋体" w:hAnsi="Arial" w:cs="Arial"/>
          <w:color w:val="191919"/>
          <w:kern w:val="0"/>
          <w:sz w:val="24"/>
          <w:szCs w:val="24"/>
        </w:rPr>
      </w:pPr>
      <w:r>
        <w:rPr>
          <w:rFonts w:ascii="Arial" w:eastAsia="宋体" w:hAnsi="Arial" w:cs="Arial"/>
          <w:noProof/>
          <w:color w:val="191919"/>
          <w:kern w:val="0"/>
          <w:sz w:val="24"/>
          <w:szCs w:val="24"/>
        </w:rPr>
        <w:lastRenderedPageBreak/>
        <w:drawing>
          <wp:inline distT="0" distB="0" distL="0" distR="0">
            <wp:extent cx="6092010" cy="9452344"/>
            <wp:effectExtent l="0" t="0" r="4445" b="0"/>
            <wp:docPr id="3" name="图片 3" descr="http://img.mp.itc.cn/upload/20161226/94d8bd0daeb44ff682ec5ba52ec42220_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mp.itc.cn/upload/20161226/94d8bd0daeb44ff682ec5ba52ec42220_th.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092190" cy="9452624"/>
                    </a:xfrm>
                    <a:prstGeom prst="rect">
                      <a:avLst/>
                    </a:prstGeom>
                    <a:noFill/>
                    <a:ln>
                      <a:noFill/>
                    </a:ln>
                  </pic:spPr>
                </pic:pic>
              </a:graphicData>
            </a:graphic>
          </wp:inline>
        </w:drawing>
      </w:r>
    </w:p>
    <w:p w:rsidR="006340E4" w:rsidRPr="006340E4" w:rsidRDefault="006340E4" w:rsidP="006340E4">
      <w:pPr>
        <w:widowControl/>
        <w:shd w:val="clear" w:color="auto" w:fill="FFFFFF"/>
        <w:spacing w:before="151" w:after="432"/>
        <w:jc w:val="left"/>
        <w:rPr>
          <w:rFonts w:ascii="Arial" w:eastAsia="宋体" w:hAnsi="Arial" w:cs="Arial"/>
          <w:color w:val="191919"/>
          <w:kern w:val="0"/>
          <w:sz w:val="24"/>
          <w:szCs w:val="24"/>
        </w:rPr>
      </w:pPr>
      <w:r>
        <w:rPr>
          <w:rFonts w:ascii="Arial" w:eastAsia="宋体" w:hAnsi="Arial" w:cs="Arial"/>
          <w:noProof/>
          <w:color w:val="191919"/>
          <w:kern w:val="0"/>
          <w:sz w:val="24"/>
          <w:szCs w:val="24"/>
        </w:rPr>
        <w:lastRenderedPageBreak/>
        <w:drawing>
          <wp:inline distT="0" distB="0" distL="0" distR="0">
            <wp:extent cx="6092261" cy="9441712"/>
            <wp:effectExtent l="0" t="0" r="3810" b="7620"/>
            <wp:docPr id="2" name="图片 2" descr="http://img.mp.itc.cn/upload/20161226/06cfcede98cc4613879e0424a40ac3e7_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mp.itc.cn/upload/20161226/06cfcede98cc4613879e0424a40ac3e7_th.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092190" cy="9441601"/>
                    </a:xfrm>
                    <a:prstGeom prst="rect">
                      <a:avLst/>
                    </a:prstGeom>
                    <a:noFill/>
                    <a:ln>
                      <a:noFill/>
                    </a:ln>
                  </pic:spPr>
                </pic:pic>
              </a:graphicData>
            </a:graphic>
          </wp:inline>
        </w:drawing>
      </w:r>
    </w:p>
    <w:p w:rsidR="006340E4" w:rsidRPr="006340E4" w:rsidRDefault="006340E4" w:rsidP="006340E4">
      <w:pPr>
        <w:widowControl/>
        <w:shd w:val="clear" w:color="auto" w:fill="FFFFFF"/>
        <w:spacing w:before="151" w:after="432"/>
        <w:jc w:val="left"/>
        <w:rPr>
          <w:rFonts w:ascii="Arial" w:eastAsia="宋体" w:hAnsi="Arial" w:cs="Arial"/>
          <w:color w:val="191919"/>
          <w:kern w:val="0"/>
          <w:sz w:val="24"/>
          <w:szCs w:val="24"/>
        </w:rPr>
      </w:pPr>
      <w:r>
        <w:rPr>
          <w:rFonts w:ascii="Arial" w:eastAsia="宋体" w:hAnsi="Arial" w:cs="Arial"/>
          <w:noProof/>
          <w:color w:val="191919"/>
          <w:kern w:val="0"/>
          <w:sz w:val="24"/>
          <w:szCs w:val="24"/>
        </w:rPr>
        <w:lastRenderedPageBreak/>
        <w:drawing>
          <wp:inline distT="0" distB="0" distL="0" distR="0">
            <wp:extent cx="6092322" cy="7251405"/>
            <wp:effectExtent l="0" t="0" r="3810" b="6985"/>
            <wp:docPr id="1" name="图片 1" descr="http://img.mp.itc.cn/upload/20161226/6ea28f61b0c9480c9547a59f8584843e_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mp.itc.cn/upload/20161226/6ea28f61b0c9480c9547a59f8584843e_th.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92190" cy="7251248"/>
                    </a:xfrm>
                    <a:prstGeom prst="rect">
                      <a:avLst/>
                    </a:prstGeom>
                    <a:noFill/>
                    <a:ln>
                      <a:noFill/>
                    </a:ln>
                  </pic:spPr>
                </pic:pic>
              </a:graphicData>
            </a:graphic>
          </wp:inline>
        </w:drawing>
      </w:r>
    </w:p>
    <w:p w:rsidR="006340E4" w:rsidRPr="0074797D" w:rsidRDefault="006340E4" w:rsidP="0074797D">
      <w:pPr>
        <w:widowControl/>
        <w:shd w:val="clear" w:color="auto" w:fill="FFFFFF"/>
        <w:jc w:val="right"/>
        <w:rPr>
          <w:rFonts w:ascii="微软雅黑" w:eastAsia="微软雅黑" w:hAnsi="微软雅黑" w:cs="宋体"/>
          <w:color w:val="333333"/>
          <w:kern w:val="0"/>
          <w:sz w:val="27"/>
          <w:szCs w:val="27"/>
        </w:rPr>
      </w:pPr>
      <w:r w:rsidRPr="0074797D">
        <w:rPr>
          <w:rFonts w:ascii="微软雅黑" w:eastAsia="微软雅黑" w:hAnsi="微软雅黑" w:cs="宋体"/>
          <w:color w:val="333333"/>
          <w:kern w:val="0"/>
          <w:sz w:val="27"/>
          <w:szCs w:val="27"/>
        </w:rPr>
        <w:t>国家发展改革委办公厅</w:t>
      </w:r>
    </w:p>
    <w:p w:rsidR="006340E4" w:rsidRPr="0074797D" w:rsidRDefault="006340E4" w:rsidP="0074797D">
      <w:pPr>
        <w:widowControl/>
        <w:shd w:val="clear" w:color="auto" w:fill="FFFFFF"/>
        <w:spacing w:before="151" w:after="432"/>
        <w:jc w:val="right"/>
        <w:rPr>
          <w:rFonts w:ascii="微软雅黑" w:eastAsia="微软雅黑" w:hAnsi="微软雅黑" w:cs="宋体"/>
          <w:color w:val="333333"/>
          <w:kern w:val="0"/>
          <w:sz w:val="27"/>
          <w:szCs w:val="27"/>
        </w:rPr>
      </w:pPr>
      <w:r w:rsidRPr="0074797D">
        <w:rPr>
          <w:rFonts w:ascii="微软雅黑" w:eastAsia="微软雅黑" w:hAnsi="微软雅黑" w:cs="宋体"/>
          <w:color w:val="333333"/>
          <w:kern w:val="0"/>
          <w:sz w:val="27"/>
          <w:szCs w:val="27"/>
        </w:rPr>
        <w:t>2016年12月19日</w:t>
      </w:r>
    </w:p>
    <w:p w:rsidR="006340E4" w:rsidRDefault="001208F0" w:rsidP="001208F0">
      <w:pPr>
        <w:pStyle w:val="3"/>
        <w:jc w:val="center"/>
        <w:rPr>
          <w:sz w:val="30"/>
          <w:szCs w:val="30"/>
        </w:rPr>
      </w:pPr>
      <w:bookmarkStart w:id="55" w:name="_Toc12864215"/>
      <w:r w:rsidRPr="001208F0">
        <w:rPr>
          <w:rFonts w:hint="eastAsia"/>
          <w:sz w:val="30"/>
          <w:szCs w:val="30"/>
        </w:rPr>
        <w:lastRenderedPageBreak/>
        <w:t>国家发展改革委办公厅关于印发《绿色债券发行指引》的通知（发改办财金〔</w:t>
      </w:r>
      <w:r w:rsidRPr="001208F0">
        <w:rPr>
          <w:rFonts w:hint="eastAsia"/>
          <w:sz w:val="30"/>
          <w:szCs w:val="30"/>
        </w:rPr>
        <w:t>2015</w:t>
      </w:r>
      <w:r w:rsidRPr="001208F0">
        <w:rPr>
          <w:rFonts w:hint="eastAsia"/>
          <w:sz w:val="30"/>
          <w:szCs w:val="30"/>
        </w:rPr>
        <w:t>〕</w:t>
      </w:r>
      <w:r w:rsidRPr="001208F0">
        <w:rPr>
          <w:rFonts w:hint="eastAsia"/>
          <w:sz w:val="30"/>
          <w:szCs w:val="30"/>
        </w:rPr>
        <w:t>3504</w:t>
      </w:r>
      <w:r w:rsidRPr="001208F0">
        <w:rPr>
          <w:rFonts w:hint="eastAsia"/>
          <w:sz w:val="30"/>
          <w:szCs w:val="30"/>
        </w:rPr>
        <w:t>号）</w:t>
      </w:r>
      <w:bookmarkEnd w:id="55"/>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各省、自治区、直辖市及计划单列市、新疆生产建设兵团、黑龙江农垦总局发展改革委，相关省（区、市）经信委（工信委、工信厅、经信局），有关中央管理企业：</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为贯彻落实党的十八大和十八届二中、三中、四中、五中全会精神，按照《中共中央国务院关于加快推进生态文明建设的意见》、《中共中央国务院关于印发生态文明体制改革总体方案的通知》要求，为进一步推动绿色发展，促进经济结构调整优化和发展方式加快转变，现将《绿色债券发行指引》印发你们。请认真贯彻文件精神，发挥企业债券融资作用，积极探索利用专项建设基金等建立绿色担保基金，加强与相关部门在</w:t>
      </w:r>
      <w:hyperlink r:id="rId48" w:tgtFrame="_blank" w:history="1">
        <w:r w:rsidRPr="001208F0">
          <w:rPr>
            <w:rFonts w:ascii="微软雅黑" w:eastAsia="微软雅黑" w:hAnsi="微软雅黑" w:cs="宋体" w:hint="eastAsia"/>
            <w:color w:val="333333"/>
            <w:kern w:val="0"/>
            <w:sz w:val="27"/>
            <w:szCs w:val="27"/>
          </w:rPr>
          <w:t>节能减排</w:t>
        </w:r>
      </w:hyperlink>
      <w:r w:rsidRPr="001208F0">
        <w:rPr>
          <w:rFonts w:ascii="微软雅黑" w:eastAsia="微软雅黑" w:hAnsi="微软雅黑" w:cs="宋体" w:hint="eastAsia"/>
          <w:color w:val="333333"/>
          <w:kern w:val="0"/>
          <w:sz w:val="27"/>
          <w:szCs w:val="27"/>
        </w:rPr>
        <w:t>、环境保护、生态建设、应对气候变化等领域项目投融资方面的协调配合，努力形成政策合力，破解资源环境瓶颈约束，推动发展质量和效益提高，加快建设资源节约型、环境友好型社会。</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附件：《绿色债券发行指引》</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jc w:val="right"/>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lastRenderedPageBreak/>
        <w:t>国家发展改革委办公厅</w:t>
      </w:r>
    </w:p>
    <w:p w:rsidR="001208F0" w:rsidRPr="001208F0" w:rsidRDefault="001208F0" w:rsidP="001208F0">
      <w:pPr>
        <w:shd w:val="clear" w:color="auto" w:fill="FFFFFF"/>
        <w:jc w:val="right"/>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jc w:val="right"/>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2015年12月31日</w:t>
      </w:r>
    </w:p>
    <w:p w:rsidR="001208F0" w:rsidRPr="001208F0" w:rsidRDefault="001208F0" w:rsidP="001208F0">
      <w:pPr>
        <w:shd w:val="clear" w:color="auto" w:fill="FFFFFF"/>
        <w:jc w:val="left"/>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附件</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jc w:val="center"/>
        <w:rPr>
          <w:rFonts w:ascii="微软雅黑" w:eastAsia="微软雅黑" w:hAnsi="微软雅黑" w:cs="宋体"/>
          <w:color w:val="333333"/>
          <w:kern w:val="0"/>
          <w:sz w:val="27"/>
          <w:szCs w:val="27"/>
        </w:rPr>
      </w:pPr>
      <w:r w:rsidRPr="001208F0">
        <w:rPr>
          <w:rFonts w:ascii="微软雅黑" w:eastAsia="微软雅黑" w:hAnsi="微软雅黑" w:cs="宋体" w:hint="eastAsia"/>
          <w:b/>
          <w:bCs/>
          <w:color w:val="333333"/>
          <w:kern w:val="0"/>
          <w:sz w:val="27"/>
          <w:szCs w:val="27"/>
        </w:rPr>
        <w:t>绿色债券发行指引</w:t>
      </w:r>
    </w:p>
    <w:p w:rsidR="001208F0" w:rsidRPr="001208F0" w:rsidRDefault="001208F0" w:rsidP="001208F0">
      <w:pPr>
        <w:shd w:val="clear" w:color="auto" w:fill="FFFFFF"/>
        <w:jc w:val="left"/>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为贯彻落实党的十八大和十八届二中、三中、四中、五中全会精神，按照《中共中央国务院关于加快推进生态文明建设的意见》、《中共中央国务院关于印发生态文明体制改革总体方案的通知》要求，积极发挥企业债券融资对促进绿色发展、推动节能减排、解决突出环境问题、应对气候变化、发展节能环保产业等支持作用，引导和鼓励社会投入，助力经济结构调整优化和发展方式加快转变，制定本指引。</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一、适用范围和支持重点</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绿色债券是指，募集资金主要用于支持节能减排技术改造、绿色城镇化、</w:t>
      </w:r>
      <w:r w:rsidRPr="001208F0">
        <w:rPr>
          <w:rFonts w:ascii="微软雅黑" w:eastAsia="微软雅黑" w:hAnsi="微软雅黑" w:cs="宋体" w:hint="eastAsia"/>
          <w:color w:val="333333"/>
          <w:kern w:val="0"/>
          <w:sz w:val="27"/>
          <w:szCs w:val="27"/>
        </w:rPr>
        <w:lastRenderedPageBreak/>
        <w:t>能源清洁高效利用、</w:t>
      </w:r>
      <w:hyperlink r:id="rId49" w:tgtFrame="_blank" w:history="1">
        <w:r w:rsidRPr="001208F0">
          <w:rPr>
            <w:rFonts w:ascii="微软雅黑" w:eastAsia="微软雅黑" w:hAnsi="微软雅黑" w:cs="宋体" w:hint="eastAsia"/>
            <w:color w:val="333333"/>
            <w:kern w:val="0"/>
            <w:sz w:val="27"/>
            <w:szCs w:val="27"/>
          </w:rPr>
          <w:t>新能源</w:t>
        </w:r>
      </w:hyperlink>
      <w:r w:rsidRPr="001208F0">
        <w:rPr>
          <w:rFonts w:ascii="微软雅黑" w:eastAsia="微软雅黑" w:hAnsi="微软雅黑" w:cs="宋体" w:hint="eastAsia"/>
          <w:color w:val="333333"/>
          <w:kern w:val="0"/>
          <w:sz w:val="27"/>
          <w:szCs w:val="27"/>
        </w:rPr>
        <w:t>开发利用、循环经济发展、水资源节约和非常规水资源开发利用、污染防治、生态农林业、节能环保产业、低碳产业、生态文明先行示范实验、低碳</w:t>
      </w:r>
      <w:hyperlink r:id="rId50" w:tgtFrame="_blank" w:history="1">
        <w:r w:rsidRPr="001208F0">
          <w:rPr>
            <w:rFonts w:ascii="微软雅黑" w:eastAsia="微软雅黑" w:hAnsi="微软雅黑" w:cs="宋体" w:hint="eastAsia"/>
            <w:color w:val="333333"/>
            <w:kern w:val="0"/>
            <w:sz w:val="27"/>
            <w:szCs w:val="27"/>
          </w:rPr>
          <w:t>试点</w:t>
        </w:r>
      </w:hyperlink>
      <w:r w:rsidRPr="001208F0">
        <w:rPr>
          <w:rFonts w:ascii="微软雅黑" w:eastAsia="微软雅黑" w:hAnsi="微软雅黑" w:cs="宋体" w:hint="eastAsia"/>
          <w:color w:val="333333"/>
          <w:kern w:val="0"/>
          <w:sz w:val="27"/>
          <w:szCs w:val="27"/>
        </w:rPr>
        <w:t>示范等绿色循环低碳发展项目的企业债券。现阶段支持重点为：</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（一）节能减排技术改造项目。包括燃煤电厂超低排放和节能改造，以及余热暖民等余热余压利用、燃煤锅炉节能环保提升改造、电机系统能效提升、企业能效综合提升、绿色照明等。</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（二）绿色城镇化项目。包括</w:t>
      </w:r>
      <w:hyperlink r:id="rId51" w:tgtFrame="_blank" w:history="1">
        <w:r w:rsidRPr="001208F0">
          <w:rPr>
            <w:rFonts w:ascii="微软雅黑" w:eastAsia="微软雅黑" w:hAnsi="微软雅黑" w:cs="宋体" w:hint="eastAsia"/>
            <w:color w:val="333333"/>
            <w:kern w:val="0"/>
            <w:sz w:val="27"/>
            <w:szCs w:val="27"/>
          </w:rPr>
          <w:t>绿色建筑</w:t>
        </w:r>
      </w:hyperlink>
      <w:r w:rsidRPr="001208F0">
        <w:rPr>
          <w:rFonts w:ascii="微软雅黑" w:eastAsia="微软雅黑" w:hAnsi="微软雅黑" w:cs="宋体" w:hint="eastAsia"/>
          <w:color w:val="333333"/>
          <w:kern w:val="0"/>
          <w:sz w:val="27"/>
          <w:szCs w:val="27"/>
        </w:rPr>
        <w:t>发展、建筑工业化、既有建筑节能改造、海绵城市建设、智慧城市建设、智能电网建设、新能源汽车充电设施建设等。</w:t>
      </w:r>
    </w:p>
    <w:p w:rsidR="001208F0" w:rsidRPr="001208F0" w:rsidRDefault="001208F0" w:rsidP="001208F0">
      <w:pPr>
        <w:shd w:val="clear" w:color="auto" w:fill="FFFFFF"/>
        <w:rPr>
          <w:rFonts w:ascii="微软雅黑" w:eastAsia="微软雅黑" w:hAnsi="微软雅黑" w:cs="宋体"/>
          <w:color w:val="333333"/>
          <w:kern w:val="0"/>
          <w:sz w:val="27"/>
          <w:szCs w:val="27"/>
        </w:rPr>
      </w:pP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（三）能源清洁高效利用项目。包括煤炭、石油等能源的高效清洁化利用。</w:t>
      </w:r>
    </w:p>
    <w:p w:rsidR="001208F0" w:rsidRPr="001208F0" w:rsidRDefault="001208F0" w:rsidP="001208F0">
      <w:pPr>
        <w:shd w:val="clear" w:color="auto" w:fill="FFFFFF"/>
        <w:rPr>
          <w:rFonts w:ascii="微软雅黑" w:eastAsia="微软雅黑" w:hAnsi="微软雅黑" w:cs="宋体"/>
          <w:color w:val="333333"/>
          <w:kern w:val="0"/>
          <w:sz w:val="27"/>
          <w:szCs w:val="27"/>
        </w:rPr>
      </w:pP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（四）新能源开发利用项目。包括水能、风能、核能、太阳能、生物质能、地热、浅层地温能、海洋能、空气能等开发利用。</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（五）循环经济发展项目。包括产业园区循环化改造、废弃物资源化利用、农业循环经济、再制造产业等。</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lastRenderedPageBreak/>
        <w:t>（六）水资源节约和非常规水资源开发利用项目。包括节水改造、海水（苦咸水）淡化、中水利用等。</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（七）污染防治项目。包括污水垃圾等环境基础设施建设，大气、水、土壤等突出环境问题治理，危废、医废、工业尾矿等处理处置。</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（八）生态农林业项目。包括发展有机农业、生态农业，以及特色经济林、林下经济、森林旅游等林产业。</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（九）节能环保产业项目。包括节能环保重大装备、技术产业化，</w:t>
      </w:r>
      <w:hyperlink r:id="rId52" w:tgtFrame="_blank" w:history="1">
        <w:r w:rsidRPr="001208F0">
          <w:rPr>
            <w:rFonts w:ascii="微软雅黑" w:eastAsia="微软雅黑" w:hAnsi="微软雅黑" w:cs="宋体" w:hint="eastAsia"/>
            <w:color w:val="333333"/>
            <w:kern w:val="0"/>
            <w:sz w:val="27"/>
            <w:szCs w:val="27"/>
          </w:rPr>
          <w:t>合同能源管理</w:t>
        </w:r>
      </w:hyperlink>
      <w:r w:rsidRPr="001208F0">
        <w:rPr>
          <w:rFonts w:ascii="微软雅黑" w:eastAsia="微软雅黑" w:hAnsi="微软雅黑" w:cs="宋体" w:hint="eastAsia"/>
          <w:color w:val="333333"/>
          <w:kern w:val="0"/>
          <w:sz w:val="27"/>
          <w:szCs w:val="27"/>
        </w:rPr>
        <w:t>，节能环保产业基地（园区）建设等。</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（十）低碳产业项目。包括国家重点推广的低碳技术及相关装备的产业化，低碳产品生产项目，低碳服务相关建设项目等。</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（十一）生态文明先行示范实验项目。包括生态文明先行示范区的资源节约、循环经济发展、环境保护、生态建设等项目。</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（十二）低碳发展试点示范项目。包括低碳省市试点、低碳城（镇）试点、</w:t>
      </w:r>
      <w:hyperlink r:id="rId53" w:tgtFrame="_blank" w:history="1">
        <w:r w:rsidRPr="001208F0">
          <w:rPr>
            <w:rFonts w:ascii="微软雅黑" w:eastAsia="微软雅黑" w:hAnsi="微软雅黑" w:cs="宋体" w:hint="eastAsia"/>
            <w:color w:val="333333"/>
            <w:kern w:val="0"/>
            <w:sz w:val="27"/>
            <w:szCs w:val="27"/>
          </w:rPr>
          <w:t>低碳社区</w:t>
        </w:r>
      </w:hyperlink>
      <w:r w:rsidRPr="001208F0">
        <w:rPr>
          <w:rFonts w:ascii="微软雅黑" w:eastAsia="微软雅黑" w:hAnsi="微软雅黑" w:cs="宋体" w:hint="eastAsia"/>
          <w:color w:val="333333"/>
          <w:kern w:val="0"/>
          <w:sz w:val="27"/>
          <w:szCs w:val="27"/>
        </w:rPr>
        <w:t>试点、低碳园区试点的低碳能源、低碳工业、低碳交通、低碳建筑等低碳基础设施建设及</w:t>
      </w:r>
      <w:hyperlink r:id="rId54" w:tgtFrame="_blank" w:history="1">
        <w:r w:rsidRPr="001208F0">
          <w:rPr>
            <w:rFonts w:ascii="微软雅黑" w:eastAsia="微软雅黑" w:hAnsi="微软雅黑" w:cs="宋体" w:hint="eastAsia"/>
            <w:color w:val="333333"/>
            <w:kern w:val="0"/>
            <w:sz w:val="27"/>
            <w:szCs w:val="27"/>
          </w:rPr>
          <w:t>碳管理</w:t>
        </w:r>
      </w:hyperlink>
      <w:hyperlink r:id="rId55" w:tgtFrame="_blank" w:history="1">
        <w:r w:rsidRPr="001208F0">
          <w:rPr>
            <w:rFonts w:ascii="微软雅黑" w:eastAsia="微软雅黑" w:hAnsi="微软雅黑" w:cs="宋体" w:hint="eastAsia"/>
            <w:color w:val="333333"/>
            <w:kern w:val="0"/>
            <w:sz w:val="27"/>
            <w:szCs w:val="27"/>
          </w:rPr>
          <w:t>平台</w:t>
        </w:r>
      </w:hyperlink>
      <w:r w:rsidRPr="001208F0">
        <w:rPr>
          <w:rFonts w:ascii="微软雅黑" w:eastAsia="微软雅黑" w:hAnsi="微软雅黑" w:cs="宋体" w:hint="eastAsia"/>
          <w:color w:val="333333"/>
          <w:kern w:val="0"/>
          <w:sz w:val="27"/>
          <w:szCs w:val="27"/>
        </w:rPr>
        <w:t>建设项目。</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lastRenderedPageBreak/>
        <w:t>我委将根据实际情况，适时调整可采用市场化方式融资的绿色项目和绿色债券支持的范围，并继续创新推出绿色发展领域新的债券品种。</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二、审核要求</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（一）在相关手续齐备、偿债保障措施完善的基础上，绿色债券比照我委“加快和简化审核类”债券审核程序，提高审核效率。</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（二）企业申请发行绿色债券，可适当调整企业债券现行审核政策及《关于全面加强企业债券风险防范的若干意见》中规定的部分准入条件：</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1、债券募集资金占项目总投资比例放宽至80%（相关规定对资本金最低限制另有要求的除外）。</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2、发行绿色债券的企业不受发债指标限制。</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3、在资产负债率低于75%的前提下，核定发债规模时不考察企业其它公司信用类产品的规模。</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4、鼓励上市公司及其子公司发行绿色债券。</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（三）支持绿色债券发行主体利用债券资金优化债务结构。在偿债保障</w:t>
      </w:r>
      <w:r w:rsidRPr="001208F0">
        <w:rPr>
          <w:rFonts w:ascii="微软雅黑" w:eastAsia="微软雅黑" w:hAnsi="微软雅黑" w:cs="宋体" w:hint="eastAsia"/>
          <w:color w:val="333333"/>
          <w:kern w:val="0"/>
          <w:sz w:val="27"/>
          <w:szCs w:val="27"/>
        </w:rPr>
        <w:lastRenderedPageBreak/>
        <w:t>措施完善的情况下，允许企业使用不超过50%的债券募集资金用于偿还银行贷款和补充营运资金。主体信用评级AA+且运营情况较好的发行主体，可使用募集资金置换由在建绿色项目产生的高成本债务。</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（四）发债企业可根据项目资金回流的具体情况科学设计绿色债券发行方案，支持合理灵活设置债券期限、选择权及还本付息方式。</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五）对于环境污染第三方治理企业开展流域性、区域性或同类污染治理项目，以及节能、节水服务公司以提供相应服务获得目标客户节能、节水收益的合同管理模式进行节能、节水改造的项目，鼓励项目实施主体以集合形式发行绿色债券。</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（六）允许绿色债券面向机构投资者非公开发行。非公开发行时认购的机构投资者不超过二百人，单笔认购不少于500万元人民币，且不得采用广告、公开劝诱和变相公开方式。</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三、相关政策</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（一）地方政府应积极引导社会资本参与绿色项目建设，鼓励地方政府通过投资补助、担保补贴、债券贴息、基金注资等多种方式，支持绿色债券发行和绿色项目实施，稳步扩大直接融资比重。</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lastRenderedPageBreak/>
        <w:t>（二）拓宽担保增信渠道。允许项目收益无法在债券存续期内覆盖总投资的发行人，仅就项目收益部分与债券本息规模差额部分提供担保。鼓励市级以上（含）地方政府设立地方绿色债券担保基金，专项用于为发行绿色债券提供担保。鼓励探索采用</w:t>
      </w:r>
      <w:hyperlink r:id="rId56" w:tgtFrame="_blank" w:history="1">
        <w:r w:rsidRPr="001208F0">
          <w:rPr>
            <w:rFonts w:ascii="微软雅黑" w:eastAsia="微软雅黑" w:hAnsi="微软雅黑" w:cs="宋体" w:hint="eastAsia"/>
            <w:color w:val="333333"/>
            <w:kern w:val="0"/>
            <w:sz w:val="27"/>
            <w:szCs w:val="27"/>
          </w:rPr>
          <w:t>碳排放</w:t>
        </w:r>
      </w:hyperlink>
      <w:r w:rsidRPr="001208F0">
        <w:rPr>
          <w:rFonts w:ascii="微软雅黑" w:eastAsia="微软雅黑" w:hAnsi="微软雅黑" w:cs="宋体" w:hint="eastAsia"/>
          <w:color w:val="333333"/>
          <w:kern w:val="0"/>
          <w:sz w:val="27"/>
          <w:szCs w:val="27"/>
        </w:rPr>
        <w:t>权、排污权、用能权、用水权等收益权，以及知识产权、预期绿色收益质押等增信担保方式。</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三）推动绿色项目采取“债贷组合”增信方式，鼓励商业银行进行债券和贷款统筹管理。“债贷组合”是按照“融资统一规划、债贷统一授信、动态长效监控、全程风险管理”的模式，由银行为企业制定系统性融资规划，根据项目建设融资需求，将企业债券和贷款统一纳入银行综合授信管理体系，对企业债务融资实施全程管理。</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（四）积极开展债券品种创新。对于具有稳定偿债资金来源的绿色项目，可按照融资—投资建设—回收资金封闭运行的模式，发行项目收益债券；项目回收期较长的，支持发行可续期或超长期债券。</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（五）支持符合条件的股权投资企业、绿色投资基金发行绿色债券，专项用于投资绿色项目建设；支持符合条件的绿色投资基金的股东或有限合伙人发行绿色债券，扩大绿色投资基金资本规模。</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 </w:t>
      </w:r>
    </w:p>
    <w:p w:rsidR="001208F0" w:rsidRPr="001208F0" w:rsidRDefault="001208F0" w:rsidP="001208F0">
      <w:pPr>
        <w:shd w:val="clear" w:color="auto" w:fill="FFFFFF"/>
        <w:rPr>
          <w:rFonts w:ascii="微软雅黑" w:eastAsia="微软雅黑" w:hAnsi="微软雅黑" w:cs="宋体"/>
          <w:color w:val="333333"/>
          <w:kern w:val="0"/>
          <w:sz w:val="27"/>
          <w:szCs w:val="27"/>
        </w:rPr>
      </w:pPr>
      <w:r w:rsidRPr="001208F0">
        <w:rPr>
          <w:rFonts w:ascii="微软雅黑" w:eastAsia="微软雅黑" w:hAnsi="微软雅黑" w:cs="宋体" w:hint="eastAsia"/>
          <w:color w:val="333333"/>
          <w:kern w:val="0"/>
          <w:sz w:val="27"/>
          <w:szCs w:val="27"/>
        </w:rPr>
        <w:t>（六）为推动绿色项目建设资金足额到位，鼓励绿色项目采用专项建设基金和绿色债券相结合的融资方式。已获准发行绿色债券的绿色项目，</w:t>
      </w:r>
      <w:r w:rsidRPr="001208F0">
        <w:rPr>
          <w:rFonts w:ascii="微软雅黑" w:eastAsia="微软雅黑" w:hAnsi="微软雅黑" w:cs="宋体" w:hint="eastAsia"/>
          <w:color w:val="333333"/>
          <w:kern w:val="0"/>
          <w:sz w:val="27"/>
          <w:szCs w:val="27"/>
        </w:rPr>
        <w:lastRenderedPageBreak/>
        <w:t>且符合中央预算内投资、专项建设基金支持条件的，将优先给予支持。</w:t>
      </w:r>
    </w:p>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 w:rsidR="001208F0" w:rsidRDefault="001208F0" w:rsidP="001208F0">
      <w:pPr>
        <w:pStyle w:val="3"/>
        <w:jc w:val="center"/>
        <w:rPr>
          <w:sz w:val="30"/>
          <w:szCs w:val="30"/>
        </w:rPr>
      </w:pPr>
      <w:bookmarkStart w:id="56" w:name="_Toc12864216"/>
      <w:r w:rsidRPr="001208F0">
        <w:rPr>
          <w:sz w:val="30"/>
          <w:szCs w:val="30"/>
        </w:rPr>
        <w:lastRenderedPageBreak/>
        <w:t>国家发展改革委办公厅关于印发</w:t>
      </w:r>
      <w:r w:rsidRPr="001208F0">
        <w:rPr>
          <w:rFonts w:hint="eastAsia"/>
          <w:sz w:val="30"/>
          <w:szCs w:val="30"/>
        </w:rPr>
        <w:t>《项目收益债券管理暂行办法》的通知（发改办财金〔</w:t>
      </w:r>
      <w:r w:rsidRPr="001208F0">
        <w:rPr>
          <w:rFonts w:hint="eastAsia"/>
          <w:sz w:val="30"/>
          <w:szCs w:val="30"/>
        </w:rPr>
        <w:t>2015</w:t>
      </w:r>
      <w:r w:rsidRPr="001208F0">
        <w:rPr>
          <w:rFonts w:hint="eastAsia"/>
          <w:sz w:val="30"/>
          <w:szCs w:val="30"/>
        </w:rPr>
        <w:t>〕</w:t>
      </w:r>
      <w:r w:rsidRPr="001208F0">
        <w:rPr>
          <w:rFonts w:hint="eastAsia"/>
          <w:sz w:val="30"/>
          <w:szCs w:val="30"/>
        </w:rPr>
        <w:t>2010</w:t>
      </w:r>
      <w:r w:rsidRPr="001208F0">
        <w:rPr>
          <w:rFonts w:hint="eastAsia"/>
          <w:sz w:val="30"/>
          <w:szCs w:val="30"/>
        </w:rPr>
        <w:t>号）</w:t>
      </w:r>
      <w:bookmarkEnd w:id="56"/>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各省、自治区、直辖市及计划单列市、新疆生产建设兵团发展改革委：</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为贯彻落实党的十八届三中全会通过的《中共中央关于全面深化改革若干重大问题的决定》精神和党中央2015年全面深化改革工作要求，扩大直接融资规模，规范项目收益债券发行管理工作，发挥资本市场服务实体经济的作用，现将我委制定的《项目收益债券管理暂行办法》印发你们，请在工作中认真贯彻执行。</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附件：1、项目收益债券管理暂行办法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2、项目收益债券申请材料参考目录</w:t>
      </w:r>
    </w:p>
    <w:p w:rsidR="00087849" w:rsidRPr="00087849" w:rsidRDefault="00087849" w:rsidP="00087849">
      <w:pPr>
        <w:widowControl/>
        <w:shd w:val="clear" w:color="auto" w:fill="FFFFFF"/>
        <w:jc w:val="righ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国家发展改革委办公厅</w:t>
      </w:r>
    </w:p>
    <w:p w:rsidR="00087849" w:rsidRPr="00087849" w:rsidRDefault="00087849" w:rsidP="00087849">
      <w:pPr>
        <w:widowControl/>
        <w:shd w:val="clear" w:color="auto" w:fill="FFFFFF"/>
        <w:jc w:val="righ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2015年7月29日</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附件 1</w:t>
      </w:r>
    </w:p>
    <w:p w:rsidR="00087849" w:rsidRPr="00087849" w:rsidRDefault="00087849" w:rsidP="00087849">
      <w:pPr>
        <w:widowControl/>
        <w:shd w:val="clear" w:color="auto" w:fill="FFFFFF"/>
        <w:jc w:val="center"/>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项目收益债券管理暂行办法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第一章 总 则</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第一条【立法目的和依据】为规范项目收益债券发行管理工作，扩大直接融资规模，发挥资本市场服务实体经济的作用，根据《公司法》、《证券法》、《企业债券管理条例》等法律法规，制定本办法。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第二条【基本概念】本办法所称的项目收益债券，是由项目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实施主体或其实际控制人发行的，与特定项目相联系的，债券募集资金用于特定项目的投资与建设，债券的本息偿还资金完全或主要来源于项目建成后运营收益的企业债券。</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第三条【资金用途】发行项目收益债券募集的资金，只能用</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于该项目建设、运营或设备购置，不得置换项目资本金或偿还与项目有关的其他债务，但偿还已使用的超过项目融资安排约定规模的银行贷款除外。</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第二章 发行与上市</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第四条【发行方式】项目收益债券可以以招标或簿记建档形</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式公开发行，也可以面向机构投资者非公开发行。非公开发行的，每次发行时认购的机构投资者不超过二百人，单笔认购不少于500 万元人民币。非公开发行项目收益债券的，不得采用广告、公开劝诱和变相公开方式。</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第五条【发行条件】发行项目收益债券，需符合《公司法》、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《证券法》、《企业债券管理条例》和本办法对公开发行和非公开发行债券的要求。非公开发行的项目收益债券的债项评级应达到AA 及以上。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第六条【申报方式】发行项目收益债券，应按照企业债券申</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报程序和要求报国家发展改革委核准。国家发展改革委以政务服务大厅平台为依托，按照法定程序和时限进行审核。</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第七条【承销】发行项目收益债券，应由有资质的承销机构</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进行承销。</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第八条【分期发行】项目收益债券可申请一次核准，根据项</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目资金需求进度分期发行，但应自核准起两年内发行完毕，超过两年的未发行额度即作废。</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第九条【期限要求】项目收益债券的存续期不得超过募投项目运营周期。还本付息资金安排应与项目收益实现相匹配。</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第十条【债券形式】项目收益债券为实名制记账式债券，在登记结算机构进行登记、托管。非公开发行的项目收益债券，应在中央国债登记结算有限责任公司统一登记、托管，且存续期内不得转托管。</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一条【上市交易】公开发行的项目收益债券发行后，可在国家依法设立的交易场所交易流通。非公开发行的项目收益债券，仅限于在机构投资者范围内流通转让。转让后，持有项目收益债券的机构投资者合计不得超过二百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第三章 项目及收益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第十二条【基本要求】项目收益债券募集资金投资项目，必须符合国家产业政策和固定资产投资管理有关规定，能够产生持续稳定的现金流。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第十三条【鼓励类】重点支持基础设施和公用事业特许经营项目，以及其他有利于结构调整和改善民生的项目、提供公共产品和服务的项目，通过项目收益债券融资。</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四条【项目实施主体】项目实施主体应该是中华人民共和国境内注册的具有法人资格的企业或仅承担发债项目投资、建设、运营的特殊目的载体。项目实施主体负责募投项目的投资、建设和运营，根据约定享有项目的收益权，也是保证债券还本付息的第一责任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第十五条【项目可研】为保障投资者能够在相对客观、科学的基础上作出投资决策，鼓励聘请具有相应行业甲级资质的中介机构编制项目</w:t>
      </w:r>
      <w:r w:rsidRPr="00087849">
        <w:rPr>
          <w:rFonts w:ascii="微软雅黑" w:eastAsia="微软雅黑" w:hAnsi="微软雅黑" w:cs="宋体" w:hint="eastAsia"/>
          <w:color w:val="333333"/>
          <w:kern w:val="0"/>
          <w:sz w:val="27"/>
          <w:szCs w:val="27"/>
        </w:rPr>
        <w:lastRenderedPageBreak/>
        <w:t>可行性研究报告。项目收益和现金流应由独立第三方(包括但不限于具有咨询、评估资质的会计师事务所、咨询公司、资产评估机构等)进行评估，并对项目收益和现金流覆盖债券还本付息资金出具专项意见。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六条【项目建设资金来源】除债券资金外，项目建设资金来源应全部落实，其中投资项目资本金比例需符合国务院关于项目资本金比例的有关要求，并根据项目实施进度计划足额及时到位，贷款银行应出具贷款承诺函，其他资金来源应提供相关依据。项目实施主体的实际控制人应对项目可能超概算情况提前作出融资安排，确保项目建设资金足额到位。</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第十七条【项目财务效益评价】在项目运营期内的每个计息年度，项目收入应该能够完全覆盖债券当年还本付息的规模。项目投资内部收益率原则上应大于 8%。对于政府购买服务项目，或债券存续期内财政补贴占全部收入比例超过 30%的项目，或运营期超过 20 年的项目，内部收益率的要求可适当放宽，但原则上不低于 6%。</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八条【项目收入的认定】项目收入是指与项目建设、运营有关的所有直接收益和可确认的间接收益。项目收入包括但不限于直接收费收入、产品销售收入、财政补贴等。其中，财政补贴应逐年列入相应级别人民政府的财政预算并经同级人大批准列支，条件成熟后还应纳入有权限政府的中期财政规划。债券存续期内合法合规的财政补贴占项目收入的比例合计不得超过50%。</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第十九条【项目收益权的排他性】发行人应在募集说明书及债权代理人协议中约定，发行人合法享有项目及其收益的所有权，相关项目的</w:t>
      </w:r>
      <w:r w:rsidRPr="00087849">
        <w:rPr>
          <w:rFonts w:ascii="微软雅黑" w:eastAsia="微软雅黑" w:hAnsi="微软雅黑" w:cs="宋体" w:hint="eastAsia"/>
          <w:color w:val="333333"/>
          <w:kern w:val="0"/>
          <w:sz w:val="27"/>
          <w:szCs w:val="27"/>
        </w:rPr>
        <w:lastRenderedPageBreak/>
        <w:t>所有直接和可确认的间接收益将根据有关账户协议和账户监管要求，在项目收益债券本息范围内全部用于债券偿债。在债券存续期内，不得对项目及其收益设定抵押、质押等他项权利，但本办法第三十二条规定的除外。</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第二十条【项目进度的要求】项目收益债券募集资金投资项目原则上应为已开工项目，未开工项目应符合开工条件，并于债券发行后三个月内开工建设。</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第二十一条【项目建设保障】为保障项目建设进度，鼓励发行人为募投项目购买工程保险。项目建设期间，承包商应提供工程履约担保。</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第四章 账户管理</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二条【账户设置】项目收益债券发行人应该在银行设置独立于日常经营账户的债券募集资金使用专户、项目收入归集专户、偿债资金专户，分别存放项目收益债券的募集资金、项目收入资金和项目收益债券还本付息资金。</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三条【募集资金使用专户】募集资金使用专户，专门用于项目收益债券募集资金的接收、存储及划转，不得用作其他用途。临时闲置的募集资金，只能用于银行存款、国债、地方政府债、金融债、政府支持债券等流动性较好、低风险保本投资，并按约定定期将投资情况告知债权代理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第二十四条【偿债资金专户】偿债资金专户专门用于项目收益债券偿债准备资金的接收、存储及划转，包括但不限于从项目收入归集专户</w:t>
      </w:r>
      <w:r w:rsidRPr="00087849">
        <w:rPr>
          <w:rFonts w:ascii="微软雅黑" w:eastAsia="微软雅黑" w:hAnsi="微软雅黑" w:cs="宋体" w:hint="eastAsia"/>
          <w:color w:val="333333"/>
          <w:kern w:val="0"/>
          <w:sz w:val="27"/>
          <w:szCs w:val="27"/>
        </w:rPr>
        <w:lastRenderedPageBreak/>
        <w:t>中划转的资金、发行人或差额补偿人划入的其他资金。除偿还债券本息外，偿债资金专户资金不得用作其他用途。</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临时闲置的偿债资金，只能用于银行存款、国债、地方政府债、金融债、政府支持债券等流动性较好、低风险保本投资，并在付息或兑付日前 5 个工作日全部转化为活期存款。投资情况应按约定定期告知债权代理人。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五条【项目收入归集专户】项目运营期间所有收入必须全部进入项目收入归集专户。项目收入由可确定的主体支付时，应在相关协议中约定，由该主体直接向项目收入归集专户划转资金。发行人应将全部项目收入从归集专户向偿债资金专户划转，作为债券偿债准备金。偿债准备金以待偿付的全部债券本息为限，划转次数和具体时点可由发行人、债权代理人和监管银行根据项目收益实现特点约定，原则上每个计息年度内不少于两次。</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第二十六条【账户监管协议】发行人、债权代理人与监管银行应签订《项目收益债券账户监管协议》，对以上安排进行详细约定，并约定发行人不得在以上账户设定任何权利限制。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七条【监管银行的监管责任】监管银行应保证各个账户内资金按约定用途和程序使用，发现有关方面违规操作的，应及时采取相关措施并向有关监管部门报告。对于举借银行贷款的项目，项目收入归集专户和偿债资金专户原则上应开立于提供贷款的银行之外的第三方银行机构。</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第五章 信用评级和增信措施</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第二十八条【信用评级】发行项目收益债券，应由有资质的评级机构进行债券信用评级，定期进行跟踪评级并根据交易场所要求或与投资人的约定公布或通报债项评级结果。公开发行的项目收益债券，还应按有关要求对发行人进行主体评级和跟踪评级。</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第二十九条【增信措施】项目收益债券应设置差额补偿机制，债券存续期内每期偿债资金专户内账户余额在当期还本付息日前 20 个工作日不足以支付本期债券当期本息时，差额补偿人按约定在 5 个工作日内补足偿债资金专户余额与应付债券本息的差额部分。</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第三十条【差额补偿协议】发行人、差额补偿人和项目收入归集账户监管银行应签订差额补偿协议，约定各方权利义务和差额补偿程序。</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一条【担保措施】在设置完善的差额补偿机制基础上，项目收益债券也可以同时增加外部担保，对项目收益债券还本付息提供无条件不可撤销连带责任保证担保。当偿债资金专户内的余额无法足额还本付息、差额补偿人也无法按时补足差额时，由担保人在还本付息日前 10 个工作日将差额部分划入偿债资金专户。</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第三十二条【资产抵质押】发行人应于募投项目竣工验收并办理权利凭证后 10 个工作日内，将项目建设、运营所形成的资产或收益权按照法律法规规定可以抵押或质押的部分，足额向债权代理人办理抵质押手续。</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第六章 投资者保护</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第三十三条【投资者风险告知】项目收益债券发行前，应在发行公告文件中对潜在投资者进行充分的风险告知。投资者认购时，应签署书</w:t>
      </w:r>
      <w:r w:rsidRPr="00087849">
        <w:rPr>
          <w:rFonts w:ascii="微软雅黑" w:eastAsia="微软雅黑" w:hAnsi="微软雅黑" w:cs="宋体" w:hint="eastAsia"/>
          <w:color w:val="333333"/>
          <w:kern w:val="0"/>
          <w:sz w:val="27"/>
          <w:szCs w:val="27"/>
        </w:rPr>
        <w:lastRenderedPageBreak/>
        <w:t>面文件，承诺具有相应的风险识别和风险承受能力，自行承担与债券投资相关的风险。</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第三十四条【债权代理人】发行人应当为债券持有人聘请债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权代理人，并订立债权代理协议;在债券存续期内，由债权代理人按照规定或协议的约定维护债券持有人的利益。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第三十五条【投资者保护机制】发行人应在募集说明书中约定投资者保护机制，明确项目发行人或项目本身发生重大事项时的应对措施。重大事项包括但不限于：</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(一)发行人除募投项目之外的其他资产或业务发生重大不利事项;</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(二)债券发行后，募集资金投资项目超过三个月未开工;</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(三)项目建设或运营过程中出现可能影响项目建设进度或收益的重大事项;</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(四)债项评级下降;</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(五)项目现金流恶化或其它可能影响投资者利益的情况;</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(六)项目收益债券发生违约后的债权保障及清偿安排;</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(七)发生项目资产权属争议时的解决机制。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六条【债券持有人会议】发行人和债权代理人应制定完备的债券持有人会议规则，当发行人或项目本身出现对债券还本付息产生重大影响的事项时或作出重大资产处置决策前，应召开债券持有人会议，提出应对措施并进行表决。</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第三十七条【第三方审计】债权代理人应委托具有证券从业资格的会计师事务所对债券募集资金使用情况、项目收入归集情况每年进行一</w:t>
      </w:r>
      <w:r w:rsidRPr="00087849">
        <w:rPr>
          <w:rFonts w:ascii="微软雅黑" w:eastAsia="微软雅黑" w:hAnsi="微软雅黑" w:cs="宋体" w:hint="eastAsia"/>
          <w:color w:val="333333"/>
          <w:kern w:val="0"/>
          <w:sz w:val="27"/>
          <w:szCs w:val="27"/>
        </w:rPr>
        <w:lastRenderedPageBreak/>
        <w:t>次专项审计。审计中发现存在违反募集说明书披露内容和相关协议约定的行为的，应及时报告债权代理人和有关监管机构。</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八条【加速到期】发行人可在项目收益债券募集说明书中约定加速到期条款。出现启动加速到期条款的情形时，由债权代理人召开债券持有人大会，经债券持有人大会讨论通过后，可提前清偿部分或全部债券本金。可以启动加速到期条款的情形包括但不限于：</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(一)债券发行三个月后，项目仍未开工;</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(二)项目建设运营过程中出现重大不利事项，导致项目收益不能达到可行性研究报告和第三方专项意见的预测水平;</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(三)发行人破产，需对项目有关的财产和权益进行清算。</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第七章 信息披露</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三十九条【发行信息披露】公开发行的项目收益债券，其募集说明书等法律文件应置备于必要地点并通过中国债券信息网等相关媒体进行公开披露。非公开发行的项目收益债券，其募集说明书等法律文件应通过适当渠道供潜在机构投资者查阅。</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条【持续信息披露】发行人和承销机构应在发行后三个月在中国债券信息网等相关媒体上公告或向机构投资者通报项目实施进展情况及募集资金使用专户、项目收入归集专户和偿债资金专户收支情况，此后每半年公告或通报上述情况。在债券存续期内，项目建设、运营情况发生重大变化或发行人发生对债券持有人有重大影响的事项，应按照规定或约定履行程序，并及时公告或通报。</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第四十一条【信息披露质量要求】项目收益债券发行人、主承销商应保证披露信息的及时性、齐备性、一致性和可理解性。</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发行人、承销机构、中介机构应保证所披露信息的真实、准确、完整，并承担相应的民事、行政和刑事法律责任。</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第八章 法律责任</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二条【一般责任】项目收益债券发行、交易过程中，相关主体存在违反《公司法》、《证券法》、《企业债券管理条例》或其他法律法规的行为，由有关部门按照前述法律法规和《行政处罚法》的规定进行处罚。给他人造成损失的，依法承担民事责任。构成犯罪的，依法追究刑事责任。</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第四十三条【特殊责任】对以下违反本办法规定的机构和人员，发展改革部门可采取责令改正、监管谈话、出具警示函、记入信用记录、暂不受理与企业债券发行核准有关的申请或通报行业主管部门等监管措施。</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(一)发行人和相关人员在项目建设、运营过程中玩忽职守，导致项目形成的资产或收益出现重大损失，损害债券持有人利益。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(二)工程咨询公司、独立第三方违反执业规范，出具的《项目可行性研究》和项目收益、现金流及其对债券本息覆盖情况的专项意见存在虚假记载、误导性陈述或重大遗漏。</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第四十四条【失信惩戒】建立发行人、中介机构及责任人的信用记录，纳入国家统一的信用信息平台，对严重违法违规和失信行为按照有关规定向社会公开，逐步实现与投资管理部门、各行业管理部门的信息</w:t>
      </w:r>
      <w:r w:rsidRPr="00087849">
        <w:rPr>
          <w:rFonts w:ascii="微软雅黑" w:eastAsia="微软雅黑" w:hAnsi="微软雅黑" w:cs="宋体" w:hint="eastAsia"/>
          <w:color w:val="333333"/>
          <w:kern w:val="0"/>
          <w:sz w:val="27"/>
          <w:szCs w:val="27"/>
        </w:rPr>
        <w:lastRenderedPageBreak/>
        <w:t>共享，对在债券申报、发行、还本付息、存续期监管等环节中存在失信行为的主体及责任人进行联合惩戒。</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第九章 附 则</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第四十五条 本办法由国家发展改革委负责解释。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第四十六条 本办法自发布之日起实行。</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附件 2</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项目收益债券申请材料参考目录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一、发行申请材料的纸张、封面及份数</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(一)纸张</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应采用幅面为 210×297 毫米规格的纸张(A4 纸张规格)。</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(二)封面</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1、标有“XX 年 XXXX 项目收益债券发行申请材料”字样。</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2、发行人名称、住所、联系电话、联系人、邮政编码。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3、主承销商名称、住所、联系电话、联系人、邮政编码。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4、申报时间。</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(三)份数</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申请材料为一份原件及电子文档。</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二、发行申请材料目录</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(一)申报请示文件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1、省级发展改革部门转报项目收益债券发行申请材料的文件(地方企业及其控股的项目实施主体，如有);</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2、发行人关于本次债券发行的申请报告;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3、发行人关于本次债券发行的内部决议;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4、发行人、差额补偿人、担保人(如有)的《企业法人营业执照》(副本)复印件;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5、中介机构从业资格证书复印件;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6、发行人、差额补偿人、担保人(如有)、中介机构及相关人员的诚信自律承诺;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7、主承销商关于不存在财务顾问费用协议支出的承诺;</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8、本次债券发行有关机构联系方式。</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(二)募投项目相关文件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9、募投项目的审批、核准或备案文件，项目合法使用土地的证明文件，施工许可证，项目环境影响评价批复文件等有关原始合法文件;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10、住建部门关于保障性住房项目的说明文件及目标责任状等支持性文件(如有);</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11、募投项目可行性研究报告及摘要;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12、项目收益及现金流评估专项意见;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13、发行人关于募投项目资金来源落实情况的说明;</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14、募投项目运营收益的支持性文件。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(三)本期债券相关文件</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15、本期债券募集说明书及摘要;</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16、发行人、差额补偿人、担保人(如有)的财务报告和审计报告(公开发行的，需提供发行人三年连审的财务报告;非公开发行的，需提供发</w:t>
      </w:r>
      <w:r w:rsidRPr="00087849">
        <w:rPr>
          <w:rFonts w:ascii="微软雅黑" w:eastAsia="微软雅黑" w:hAnsi="微软雅黑" w:cs="宋体" w:hint="eastAsia"/>
          <w:color w:val="333333"/>
          <w:kern w:val="0"/>
          <w:sz w:val="27"/>
          <w:szCs w:val="27"/>
        </w:rPr>
        <w:lastRenderedPageBreak/>
        <w:t>行人最近一个会计年度经审计的财务报告，发行人设立不满一年的，提供经审计的最近一期财务报告);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17、本期债券信用评级报告和差额补偿人、担保人(如有)的信用评级报告;</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18、本期债券法律意见书;</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19、项目实施主体、差额补偿人、担保人(如有)基本信用信息报告及相关事项说明;</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20、发行人、差额补偿人和监管银行签订的差额补偿协议;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21、发行人、债权代理人与监管银行签订的账户监管协议;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22、第三方担保函及担保方股东会或出资人决议(如有);</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23、承销协议;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24、承销团协议;</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25、债券代理协议及债券持有人会议规则;</w:t>
      </w:r>
    </w:p>
    <w:p w:rsidR="00087849" w:rsidRPr="00087849" w:rsidRDefault="00087849" w:rsidP="00087849">
      <w:pPr>
        <w:widowControl/>
        <w:shd w:val="clear" w:color="auto" w:fill="FFFFFF"/>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26、其他文件。</w:t>
      </w:r>
    </w:p>
    <w:p w:rsidR="001208F0" w:rsidRDefault="001208F0"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1208F0"/>
    <w:p w:rsidR="00087849" w:rsidRDefault="00087849" w:rsidP="00087849">
      <w:pPr>
        <w:pStyle w:val="3"/>
        <w:jc w:val="center"/>
        <w:rPr>
          <w:sz w:val="30"/>
          <w:szCs w:val="30"/>
        </w:rPr>
      </w:pPr>
      <w:bookmarkStart w:id="57" w:name="_Toc12864217"/>
      <w:r w:rsidRPr="00087849">
        <w:rPr>
          <w:rFonts w:hint="eastAsia"/>
          <w:sz w:val="30"/>
          <w:szCs w:val="30"/>
        </w:rPr>
        <w:lastRenderedPageBreak/>
        <w:t>国家发展改革委办公厅关于充分发挥企业债券融资功能支持重点项目建设促进经济平稳较快发展的通知（发改办财金〔</w:t>
      </w:r>
      <w:r w:rsidRPr="00087849">
        <w:rPr>
          <w:rFonts w:hint="eastAsia"/>
          <w:sz w:val="30"/>
          <w:szCs w:val="30"/>
        </w:rPr>
        <w:t>2015</w:t>
      </w:r>
      <w:r w:rsidRPr="00087849">
        <w:rPr>
          <w:rFonts w:hint="eastAsia"/>
          <w:sz w:val="30"/>
          <w:szCs w:val="30"/>
        </w:rPr>
        <w:t>〕</w:t>
      </w:r>
      <w:r w:rsidRPr="00087849">
        <w:rPr>
          <w:rFonts w:hint="eastAsia"/>
          <w:sz w:val="30"/>
          <w:szCs w:val="30"/>
        </w:rPr>
        <w:t>1327</w:t>
      </w:r>
      <w:r w:rsidRPr="00087849">
        <w:rPr>
          <w:rFonts w:hint="eastAsia"/>
          <w:sz w:val="30"/>
          <w:szCs w:val="30"/>
        </w:rPr>
        <w:t>号）</w:t>
      </w:r>
      <w:bookmarkEnd w:id="57"/>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各省、自治区、直辖市及计划单列市、新疆生产建设兵团发展改革委：</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为进一步发挥企业债券在促投资、稳增长中的积极作用，支持重点领域和重点项目融资，促进经济平稳较快发展，按照《国务院关于加强地方政府性债务管理的意见》（国发[2014]43号）等文件精神，在加强市场监管、强化偿债保障、严格防范风险的基础上，更加有效地发挥企业债券的直接融资功能，科学设置发债条件，简化发债审核审批程序，扩大企业债券融资规模，大力支持市场化运营、资产真实有效的企业以自身信用为基础发行企业债券融资，支持企业加快结构调整和转型升级，支持企业以各种形式参与基础设施投资建设。现通知如下：</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一、鼓励优质企业发债用于重点领域、重点项目融资</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一）对于债项信用等级为AAA级、或由资信状况良好的担保公司（主体评级在AA+及以上）提供第三方担保、或使用有效资产进行抵质押担保使债项级别达到AA+及以上的债券，募集资金用于七大类重大投资工程包、六大领域消费工程项目融资，不受发债企业数量指标的限制。</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（二）发行战略性新兴产业、养老产业、城市地下综合管廊建设、城市停车场建设、创新创业示范基地建设、电网改造等重点领域专项债券，不受发债企业数量指标的限制。</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二、支持县域企业发行企业债券融资</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（三）县域企业发行用于重点领域、重点项目建设的优质企业债和专项债券（见（一）、（二）），不受发债企业数量指标的限制。</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三、科学设置企业债券发行条件</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（四）将城投类企业和一般生产经营类企业需提供担保措施的资产负债率要求分别放宽至65%和75%；主体评级AA+的，相应资产负债率要求放宽至70%和80%；主体评级AAA的，相应资产负债率要求进一步放宽至75%和85%。</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（五）对符合条件的企业发行债券，可按照“净利润”和“归属于母公司股东净利润”孰高者测算净利润指标。</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（六）将债券募集资金占项目总投资比例放宽至不超过70%。</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四、合理确定和把握区域经济和债券风险迹象预警线</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（七）符合国发[2014]43号文件精神，偿债保障措施完善的企业发行债券，不与地方政府债务率和地方财政公共预算收入挂钩。</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lastRenderedPageBreak/>
        <w:t xml:space="preserve">　　（八）将本区域企业发行企业债券、中期票据等余额一般不超过上年度GDP8%的预警线提高到12%。</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五、简化企业募集资金投向变更程序</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九）在偿债保障措施完善、不影响债券信用级别的情况下，发债企业如需变更募集资金投向，用于其他符合国家鼓励方向的项目建设，应发布公告说明相关情况。自发布变更公告之日起15个工作日内，如单独或合计持有未偿还债券本金总额10%及以上的债券持有人（以公告日为债权登记日）向债权代理人提出书面异议，则需召开债券持有人会议对变更事项进行表决，表决通过后中央企业报国家发展改革委、地方企业报省级（计划单列市）发展改革部门备案后实施变更。如没有符合上述条件的债券持有人提出书面异议，则发债企业直接向相应部门备案后实施变更。</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六、鼓励企业发债用于特许经营等PPP项目建设</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xml:space="preserve">　　（十）鼓励一般生产经营类企业和实体化运营的城投企业通过发行一般企业债券、项目收益债券、可续期债券等，用于经有关部门批准的基础设施和公共设施特许经营等PPP项目建设。</w:t>
      </w:r>
    </w:p>
    <w:p w:rsidR="00087849" w:rsidRPr="00087849" w:rsidRDefault="00087849" w:rsidP="00087849">
      <w:pPr>
        <w:widowControl/>
        <w:spacing w:before="100" w:beforeAutospacing="1" w:after="100" w:afterAutospacing="1" w:line="480" w:lineRule="atLeast"/>
        <w:jc w:val="left"/>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 </w:t>
      </w:r>
    </w:p>
    <w:p w:rsidR="00087849" w:rsidRPr="00087849" w:rsidRDefault="00087849" w:rsidP="00087849">
      <w:pPr>
        <w:widowControl/>
        <w:spacing w:before="100" w:beforeAutospacing="1" w:after="100" w:afterAutospacing="1" w:line="480" w:lineRule="atLeast"/>
        <w:jc w:val="center"/>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国家发展改革委办公厅</w:t>
      </w:r>
    </w:p>
    <w:p w:rsidR="00087849" w:rsidRPr="00087849" w:rsidRDefault="00087849" w:rsidP="00087849">
      <w:pPr>
        <w:widowControl/>
        <w:spacing w:before="100" w:beforeAutospacing="1" w:after="100" w:afterAutospacing="1" w:line="480" w:lineRule="atLeast"/>
        <w:jc w:val="center"/>
        <w:rPr>
          <w:rFonts w:ascii="微软雅黑" w:eastAsia="微软雅黑" w:hAnsi="微软雅黑" w:cs="宋体"/>
          <w:color w:val="333333"/>
          <w:kern w:val="0"/>
          <w:sz w:val="27"/>
          <w:szCs w:val="27"/>
        </w:rPr>
      </w:pPr>
      <w:r w:rsidRPr="00087849">
        <w:rPr>
          <w:rFonts w:ascii="微软雅黑" w:eastAsia="微软雅黑" w:hAnsi="微软雅黑" w:cs="宋体" w:hint="eastAsia"/>
          <w:color w:val="333333"/>
          <w:kern w:val="0"/>
          <w:sz w:val="27"/>
          <w:szCs w:val="27"/>
        </w:rPr>
        <w:t>2015年5月25日</w:t>
      </w:r>
    </w:p>
    <w:p w:rsidR="00087849" w:rsidRDefault="00087849" w:rsidP="00087849">
      <w:pPr>
        <w:pStyle w:val="3"/>
        <w:jc w:val="center"/>
        <w:rPr>
          <w:sz w:val="30"/>
          <w:szCs w:val="30"/>
        </w:rPr>
      </w:pPr>
      <w:bookmarkStart w:id="58" w:name="_Toc12864218"/>
      <w:r w:rsidRPr="00087849">
        <w:rPr>
          <w:sz w:val="30"/>
          <w:szCs w:val="30"/>
        </w:rPr>
        <w:lastRenderedPageBreak/>
        <w:t>国家发展改革委办公厅关于印发</w:t>
      </w:r>
      <w:r w:rsidRPr="00087849">
        <w:rPr>
          <w:rFonts w:hint="eastAsia"/>
          <w:sz w:val="30"/>
          <w:szCs w:val="30"/>
        </w:rPr>
        <w:t>《战略性新兴产业专项债券发行指引》的通知（发改办财金〔</w:t>
      </w:r>
      <w:r w:rsidRPr="00087849">
        <w:rPr>
          <w:rFonts w:hint="eastAsia"/>
          <w:sz w:val="30"/>
          <w:szCs w:val="30"/>
        </w:rPr>
        <w:t>2015</w:t>
      </w:r>
      <w:r w:rsidRPr="00087849">
        <w:rPr>
          <w:rFonts w:hint="eastAsia"/>
          <w:sz w:val="30"/>
          <w:szCs w:val="30"/>
        </w:rPr>
        <w:t>〕</w:t>
      </w:r>
      <w:r w:rsidRPr="00087849">
        <w:rPr>
          <w:rFonts w:hint="eastAsia"/>
          <w:sz w:val="30"/>
          <w:szCs w:val="30"/>
        </w:rPr>
        <w:t>756</w:t>
      </w:r>
      <w:r w:rsidRPr="00087849">
        <w:rPr>
          <w:rFonts w:hint="eastAsia"/>
          <w:sz w:val="30"/>
          <w:szCs w:val="30"/>
        </w:rPr>
        <w:t>号）</w:t>
      </w:r>
      <w:bookmarkEnd w:id="58"/>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各省、自治区、直辖市及计划单列市、新疆生产建设兵团发展改革委：</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为加大债券融资方式对信息电网油气等重大网络工程、健康与养老服务、生态环保、清洁能源、粮食和水利、交通、油气及矿产资源保障工程等七大类重大投资工程包，以及信息消费、绿色消费、住房消费、旅游休闲消费、教育文体消费和养老健康消费等六大领域消费工程的支持力度，拉动重点领域投资和消费需求增长，特别是为增强战略性新兴产业支撑作用，培育新的增长点，现将我委制定的《战略性新兴产业专项债券发行指引》印发你们，请在企业债券预审工作中认真贯彻执行。</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附件：《战略性新兴产业专项债券发行指引》</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w:t>
      </w:r>
    </w:p>
    <w:p w:rsidR="00087849" w:rsidRPr="00087849" w:rsidRDefault="00087849" w:rsidP="00087849">
      <w:pPr>
        <w:pStyle w:val="a8"/>
        <w:spacing w:line="390" w:lineRule="atLeast"/>
        <w:jc w:val="righ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国家发展改革委办公厅</w:t>
      </w:r>
    </w:p>
    <w:p w:rsidR="00087849" w:rsidRPr="00087849" w:rsidRDefault="00087849" w:rsidP="00087849">
      <w:pPr>
        <w:pStyle w:val="a8"/>
        <w:spacing w:line="390" w:lineRule="atLeast"/>
        <w:jc w:val="righ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2015年3月31日</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附件</w:t>
      </w:r>
    </w:p>
    <w:p w:rsidR="00087849" w:rsidRPr="00087849" w:rsidRDefault="00087849" w:rsidP="00087849">
      <w:pPr>
        <w:pStyle w:val="a8"/>
        <w:spacing w:line="390" w:lineRule="atLeast"/>
        <w:jc w:val="center"/>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战略性新兴产业专项债券发行指引</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战略性新兴产业是以重大技术突破和重大发展需求为基础，对经济社会全局和长远发展具有重大引领带动作用，知识技术密集、物质资源</w:t>
      </w:r>
      <w:r w:rsidRPr="00087849">
        <w:rPr>
          <w:rFonts w:ascii="微软雅黑" w:eastAsia="微软雅黑" w:hAnsi="微软雅黑" w:hint="eastAsia"/>
          <w:color w:val="333333"/>
          <w:sz w:val="27"/>
          <w:szCs w:val="27"/>
        </w:rPr>
        <w:lastRenderedPageBreak/>
        <w:t>消耗少、成长潜力大、综合效益好的产业。为贯彻《国务院关于加快培育和发展战略性新兴产业的决定》（国发〔2010〕32号）精神，落实今年中央经济工作会议精神和国务院有关工作部署，加大企业债券对培育和发展战略性新兴产业的支持力度，引导和鼓励社会投入，制定本指引。</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一、鼓励节能环保、新一代信息技术、生物、高端装备制造、新能源、新材料、新能源汽车等领域符合条件的企业发行战略性新兴产业专项债券融资，重点支持《“十二五”国家战略性新兴产业发展规划》（国发〔2012〕28 号）中明确的重大节能技术与装备产业化工程、重大环保技术装备及产品产业化示范工程、重要资源循环利用工程、宽带中国工程、高性能集成电路工程、新型平板显示工程、物联网和云计算工程、信息惠民工程、蛋白类等生物药物和疫苗工程、高性能医学诊疗设备工程、生物育种工程、生物基材料工程、航空装备工程、空间基础设施工程、先进轨道交通装备及关键部件工程、海洋工程装备工程、智能制造装备工程、新能源集成应用工程、关键材料升级换代工程以及新能源汽车工程等二十大产业创新发展工程项目。</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二、对于专项用于战略性新兴产业项目的发债申请，在相关手续齐备、偿债保障措施完善的基础上，比照我委“加快和简化审核类”债券审核程序，提高审核效率。</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三、鼓励战略性新兴产业专项债券采取“债贷组合”增信方式，由商业银行进行债券和贷款统筹管理。“债贷组合”是按照“融资统一规</w:t>
      </w:r>
      <w:r w:rsidRPr="00087849">
        <w:rPr>
          <w:rFonts w:ascii="微软雅黑" w:eastAsia="微软雅黑" w:hAnsi="微软雅黑" w:hint="eastAsia"/>
          <w:color w:val="333333"/>
          <w:sz w:val="27"/>
          <w:szCs w:val="27"/>
        </w:rPr>
        <w:lastRenderedPageBreak/>
        <w:t>划、债贷统一授信、动态长效监控、全程风险管理”的模式，由银行为企业制定系统性融资规划，根据项目建设融资需求，将企业债券和贷款统一纳入银行综合授信管理体系，对企业债务融资实施全程管理。</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四、优化战略性新兴产业专项债券品种方案设计。一是可根据项目资金回流的具体情况科学设计债券发行方案，支持合理灵活设置债券期限、选择权及还本付息方式。二是支持发债企业利用债券资金优化债务结构，在偿债保障措施较为完善的情况下，允许企业使用不超过 50%的募集资金用于偿还银行贷款和补充营运资金。三是积极探索知识产权质押担保方式。四是允许发债募集资金用于战略性新兴产业领域兼并重组、购买知识产权等。</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五、鼓励地方政府加强金融政策和财政政策的结合，综合运用预算内资金支持、战略性新兴产业发展专项资金投入、加快建立包括财政出资和社会资金投入在内的多层次担保体系，以及财政贴息等风险补偿优惠政策，统筹加大对企业发行战略性新兴产业专项债券的政策扶持力度。</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t xml:space="preserve">　　六、发行战略性新兴产业专项债券，将《关于试行全面加强企业债券风险防范的若干意见》中提出的原则上需提供担保措施的资产负债率要求放宽至75%；主体评级达到AAA的企业，资产负债率要求进一步放宽至80%.</w:t>
      </w:r>
    </w:p>
    <w:p w:rsidR="00087849" w:rsidRPr="00087849" w:rsidRDefault="00087849" w:rsidP="00087849">
      <w:pPr>
        <w:pStyle w:val="a8"/>
        <w:spacing w:line="390" w:lineRule="atLeast"/>
        <w:rPr>
          <w:rFonts w:ascii="微软雅黑" w:eastAsia="微软雅黑" w:hAnsi="微软雅黑"/>
          <w:color w:val="333333"/>
          <w:sz w:val="27"/>
          <w:szCs w:val="27"/>
        </w:rPr>
      </w:pPr>
      <w:r w:rsidRPr="00087849">
        <w:rPr>
          <w:rFonts w:ascii="微软雅黑" w:eastAsia="微软雅黑" w:hAnsi="微软雅黑" w:hint="eastAsia"/>
          <w:color w:val="333333"/>
          <w:sz w:val="27"/>
          <w:szCs w:val="27"/>
        </w:rPr>
        <w:lastRenderedPageBreak/>
        <w:t xml:space="preserve">　　七、积极开展债券品种创新，对于具有稳定偿债资金来源的战略性新兴产业类项目，可按照融资—投资建设—回收资金封闭运行的模式，开展项目收益债券试点。</w:t>
      </w:r>
    </w:p>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087849" w:rsidP="00087849"/>
    <w:p w:rsidR="00087849" w:rsidRDefault="00DC086C" w:rsidP="00DC086C">
      <w:pPr>
        <w:pStyle w:val="3"/>
        <w:jc w:val="center"/>
        <w:rPr>
          <w:sz w:val="30"/>
          <w:szCs w:val="30"/>
        </w:rPr>
      </w:pPr>
      <w:bookmarkStart w:id="59" w:name="_Toc12864219"/>
      <w:r w:rsidRPr="00DC086C">
        <w:rPr>
          <w:rFonts w:hint="eastAsia"/>
          <w:sz w:val="30"/>
          <w:szCs w:val="30"/>
        </w:rPr>
        <w:lastRenderedPageBreak/>
        <w:t>国家发展改革委</w:t>
      </w:r>
      <w:r w:rsidRPr="00DC086C">
        <w:rPr>
          <w:rFonts w:hint="eastAsia"/>
          <w:sz w:val="30"/>
          <w:szCs w:val="30"/>
        </w:rPr>
        <w:t xml:space="preserve"> </w:t>
      </w:r>
      <w:r w:rsidRPr="00DC086C">
        <w:rPr>
          <w:rFonts w:hint="eastAsia"/>
          <w:sz w:val="30"/>
          <w:szCs w:val="30"/>
        </w:rPr>
        <w:t>国家开发银行关于推进开发性金融支持政府和社会资本合作有关工作的通知（发改投资〔</w:t>
      </w:r>
      <w:r w:rsidRPr="00DC086C">
        <w:rPr>
          <w:rFonts w:hint="eastAsia"/>
          <w:sz w:val="30"/>
          <w:szCs w:val="30"/>
        </w:rPr>
        <w:t>2015</w:t>
      </w:r>
      <w:r w:rsidRPr="00DC086C">
        <w:rPr>
          <w:rFonts w:hint="eastAsia"/>
          <w:sz w:val="30"/>
          <w:szCs w:val="30"/>
        </w:rPr>
        <w:t>〕</w:t>
      </w:r>
      <w:r w:rsidRPr="00DC086C">
        <w:rPr>
          <w:rFonts w:hint="eastAsia"/>
          <w:sz w:val="30"/>
          <w:szCs w:val="30"/>
        </w:rPr>
        <w:t>445</w:t>
      </w:r>
      <w:r w:rsidRPr="00DC086C">
        <w:rPr>
          <w:rFonts w:hint="eastAsia"/>
          <w:sz w:val="30"/>
          <w:szCs w:val="30"/>
        </w:rPr>
        <w:t>号）</w:t>
      </w:r>
      <w:bookmarkEnd w:id="59"/>
    </w:p>
    <w:p w:rsidR="00DC086C" w:rsidRPr="00DC086C" w:rsidRDefault="00DC086C" w:rsidP="00DC086C">
      <w:pPr>
        <w:widowControl/>
        <w:shd w:val="clear" w:color="auto" w:fill="FFFFFF"/>
        <w:spacing w:before="225"/>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各省、自治区、直辖市、计划单列市及新疆生产建设兵团发展改革委，国家开发银行各分行：</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为落实国务院领导关于切实保障重点投入、运用融资机制放大效应的批示精神，根据《国务院关于创新重点领域投融资机制鼓励社会投资的指导意见》（国发〔2014〕60号）以及《国家发展改革委关于开展政府和社会资本合作的指导意见》（发改投资〔2014〕2724号）等文件要求，现就推进开发性金融支持政府和社会资本合作（PPP）有关工作通知如下：</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一、各省（区、市）发展改革部门要高度重视推进PPP工作，认真做好PPP项目的统筹规划、综合协调及跟踪指导；要进一步完善配套政策、破除行业垄断，积极营造良好合作环境；要加强PPP项目库建设，坚持按月调度分析，加快项目实施进度。</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二、各省（区、市）发展改革部门要加强协调，积极引入外资企业、民营企业、中央企业、地方国企等各类市场主体，灵活运用基金投资、银行贷款、发行债券等各类金融工具，推进建立多元化、可持续的PPP项目资金保障机制。</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三、各省（区、市）发展改革部门要加强与开发银行等金融机构的沟通合作，及时共享PPP项目信息及调度情况，协调解决项目融资、</w:t>
      </w:r>
      <w:r w:rsidRPr="00DC086C">
        <w:rPr>
          <w:rFonts w:ascii="微软雅黑" w:eastAsia="微软雅黑" w:hAnsi="微软雅黑" w:cs="宋体" w:hint="eastAsia"/>
          <w:color w:val="333333"/>
          <w:kern w:val="0"/>
          <w:sz w:val="27"/>
          <w:szCs w:val="27"/>
        </w:rPr>
        <w:lastRenderedPageBreak/>
        <w:t>建设中存在的问题和困难。要会同有关部门加快项目审批核准等前期工作，协调落实建设条件，为融资工作顺利推进创造条件。</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四、开发银行充分发挥开发性金融的中长期融资优势及引领导向作用，积极为各地的PPP项目建设提供“投资、贷款、债券、租赁、证券”等综合金融服务，并联合其他银行、保险公司等金融机构以银团贷款、委托贷款等方式，努力拓宽PPP项目的融资渠道。</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五、开发银行积极提供规划咨询、融资顾问、财务顾问等服务，提前介入并主动帮助各地做好建设项目策划、融资方案设计、融资风险控制、社会资本引荐等工作，切实提高PPP项目的运作效率。</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六、开发银行加强信贷规模的统筹调配，优先保障PPP项目的融资需求。在监管政策允许范围内，给予PPP项目差异化信贷政策，对符合条件的项目，贷款期限最长可达30年，贷款利率可适当优惠。建立绿色通道，加快PPP项目贷款审批。</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七、开发银行认真贯彻国发〔2014〕60号文件关于“探索创新信贷服务”的要求，不断创新和完善PPP项目贷款风险管理体系，通过排污权、收费权、特许经营权、购买服务协议项下权益质押等方式，建立灵活有效的信用结构，切实防范贷款风险。</w:t>
      </w:r>
    </w:p>
    <w:p w:rsidR="00DC086C" w:rsidRPr="00DC086C" w:rsidRDefault="00DC086C" w:rsidP="00DC086C">
      <w:pPr>
        <w:widowControl/>
        <w:shd w:val="clear" w:color="auto" w:fill="FFFFFF"/>
        <w:spacing w:before="225"/>
        <w:ind w:firstLine="480"/>
        <w:jc w:val="lef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八、各省（区、市）发展改革部门、开发银行各分行要加强沟通，密切合作，协力推进PPP项目顺利实施。要及时将各地PPP项目的进</w:t>
      </w:r>
      <w:r w:rsidRPr="00DC086C">
        <w:rPr>
          <w:rFonts w:ascii="微软雅黑" w:eastAsia="微软雅黑" w:hAnsi="微软雅黑" w:cs="宋体" w:hint="eastAsia"/>
          <w:color w:val="333333"/>
          <w:kern w:val="0"/>
          <w:sz w:val="27"/>
          <w:szCs w:val="27"/>
        </w:rPr>
        <w:lastRenderedPageBreak/>
        <w:t>展情况、存在问题以及有关建议分别报送至国家发展改革委及开发银行总行。</w:t>
      </w:r>
    </w:p>
    <w:p w:rsidR="00DC086C" w:rsidRPr="00DC086C" w:rsidRDefault="00DC086C" w:rsidP="00DC086C">
      <w:pPr>
        <w:widowControl/>
        <w:shd w:val="clear" w:color="auto" w:fill="FFFFFF"/>
        <w:jc w:val="right"/>
        <w:rPr>
          <w:rFonts w:ascii="微软雅黑" w:eastAsia="微软雅黑" w:hAnsi="微软雅黑" w:cs="宋体"/>
          <w:color w:val="333333"/>
          <w:kern w:val="0"/>
          <w:sz w:val="27"/>
          <w:szCs w:val="27"/>
        </w:rPr>
      </w:pPr>
      <w:r w:rsidRPr="00DC086C">
        <w:rPr>
          <w:rFonts w:ascii="微软雅黑" w:eastAsia="微软雅黑" w:hAnsi="微软雅黑" w:cs="宋体" w:hint="eastAsia"/>
          <w:color w:val="333333"/>
          <w:kern w:val="0"/>
          <w:sz w:val="27"/>
          <w:szCs w:val="27"/>
        </w:rPr>
        <w:t>国家发展改革委</w:t>
      </w:r>
      <w:r w:rsidRPr="00DC086C">
        <w:rPr>
          <w:rFonts w:ascii="微软雅黑" w:eastAsia="微软雅黑" w:hAnsi="微软雅黑" w:cs="宋体" w:hint="eastAsia"/>
          <w:color w:val="333333"/>
          <w:kern w:val="0"/>
          <w:sz w:val="27"/>
          <w:szCs w:val="27"/>
        </w:rPr>
        <w:br/>
        <w:t>国家开发银行</w:t>
      </w:r>
      <w:r w:rsidRPr="00DC086C">
        <w:rPr>
          <w:rFonts w:ascii="微软雅黑" w:eastAsia="微软雅黑" w:hAnsi="微软雅黑" w:cs="宋体" w:hint="eastAsia"/>
          <w:color w:val="333333"/>
          <w:kern w:val="0"/>
          <w:sz w:val="27"/>
          <w:szCs w:val="27"/>
        </w:rPr>
        <w:br/>
        <w:t>2015年3月10日</w:t>
      </w:r>
    </w:p>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Pr>
        <w:pStyle w:val="2"/>
        <w:jc w:val="center"/>
      </w:pPr>
      <w:bookmarkStart w:id="60" w:name="_Toc12864220"/>
      <w:r>
        <w:rPr>
          <w:rFonts w:hint="eastAsia"/>
        </w:rPr>
        <w:t>3</w:t>
      </w:r>
      <w:r>
        <w:rPr>
          <w:rFonts w:hint="eastAsia"/>
        </w:rPr>
        <w:t>、央行文件</w:t>
      </w:r>
      <w:bookmarkEnd w:id="60"/>
    </w:p>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DC086C" w:rsidP="00DC086C"/>
    <w:p w:rsidR="00DC086C" w:rsidRDefault="00B81BEB" w:rsidP="00B81BEB">
      <w:pPr>
        <w:pStyle w:val="3"/>
        <w:jc w:val="center"/>
        <w:rPr>
          <w:sz w:val="30"/>
          <w:szCs w:val="30"/>
        </w:rPr>
      </w:pPr>
      <w:bookmarkStart w:id="61" w:name="_Toc12864221"/>
      <w:r w:rsidRPr="00B81BEB">
        <w:rPr>
          <w:rFonts w:hint="eastAsia"/>
          <w:sz w:val="30"/>
          <w:szCs w:val="30"/>
        </w:rPr>
        <w:lastRenderedPageBreak/>
        <w:t>中国人民银行办公厅关于进一步明确规范金融机构资产管理业务指导意见有关事项的通知</w:t>
      </w:r>
      <w:bookmarkEnd w:id="61"/>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中国人民银行上海总部，各分行、营业管理部、省会（首府）城市中心支行、副省级城市中心支行；国家开发银行，各政策性银行、国有商业银行、股份制商业银行，中国邮政储蓄银行；各证券公司、基金公司、期货公司、私募投资基金管理机构；各保险资产管理机构：</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w:t>
      </w:r>
      <w:hyperlink r:id="rId57" w:history="1">
        <w:r w:rsidRPr="00B81BEB">
          <w:rPr>
            <w:rFonts w:ascii="微软雅黑" w:eastAsia="微软雅黑" w:hAnsi="微软雅黑" w:hint="eastAsia"/>
            <w:color w:val="333333"/>
            <w:sz w:val="27"/>
            <w:szCs w:val="27"/>
          </w:rPr>
          <w:t>关于规范金融机构资产管理业务的指导意见</w:t>
        </w:r>
      </w:hyperlink>
      <w:r w:rsidRPr="00B81BEB">
        <w:rPr>
          <w:rFonts w:ascii="微软雅黑" w:eastAsia="微软雅黑" w:hAnsi="微软雅黑" w:hint="eastAsia"/>
          <w:color w:val="333333"/>
          <w:sz w:val="27"/>
          <w:szCs w:val="27"/>
        </w:rPr>
        <w:t>》（</w:t>
      </w:r>
      <w:hyperlink r:id="rId58" w:history="1">
        <w:r w:rsidRPr="00B81BEB">
          <w:rPr>
            <w:rFonts w:ascii="微软雅黑" w:eastAsia="微软雅黑" w:hAnsi="微软雅黑" w:hint="eastAsia"/>
            <w:color w:val="333333"/>
            <w:sz w:val="27"/>
            <w:szCs w:val="27"/>
          </w:rPr>
          <w:t>银发〔2018〕106号文</w:t>
        </w:r>
      </w:hyperlink>
      <w:r w:rsidRPr="00B81BEB">
        <w:rPr>
          <w:rFonts w:ascii="微软雅黑" w:eastAsia="微软雅黑" w:hAnsi="微软雅黑" w:hint="eastAsia"/>
          <w:color w:val="333333"/>
          <w:sz w:val="27"/>
          <w:szCs w:val="27"/>
        </w:rPr>
        <w:t>，以下简称《</w:t>
      </w:r>
      <w:hyperlink r:id="rId59"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》）自2018年4月27日发布实施以来，对于规范资产管理市场秩序、防范金融风险发挥了积极作用。为了指导金融机构更好地贯彻执行《</w:t>
      </w:r>
      <w:hyperlink r:id="rId60"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》，确保规范资产管理业务工作平稳过渡，为实体经济创造良好的货币金融环境，经人民银行、银保监会、证监会共同研究，现将有关事项进一步明确如下：</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一、按照《</w:t>
      </w:r>
      <w:hyperlink r:id="rId61"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》第十条的规定，公募资产管理产品除主要投资标准化债权类资产和上市交易的股票，还可以适当投资非标准化债权类资产，但应当符合《</w:t>
      </w:r>
      <w:hyperlink r:id="rId62"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》关于非标准化债权类资产投资的期限匹配、限额管理、信息披露等监管要求。</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二、过渡期内，金融机构可以发行老产品投资新资产，优先满足国家重点领域和重大工程建设续建项目以及中小微企业融资需求，但老产品的整体规模应当控制在《</w:t>
      </w:r>
      <w:hyperlink r:id="rId63"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》发布前存量产品的整体规模内，且所投资新资产的到期日不得晚于2020年底。</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三、过渡期内，对于封闭期在半年以上的定期开放式资产管理产品，投资以收取合同现金流量为目的并持有到期的债券，可使用摊余成本计量，但定期开放式产品持有资产组合的久期不得长于封闭期的1.5倍；银行的现金管理类产品在严格监管的前提下，暂参照货币市场基金的“摊余成本+影子定价”方法进行估值。</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四、对于通过各种措施确实难以消化、需要回表的存量非标准化债权类资产，在宏观审慎评估（MPA）考核时，合理调整有关参数，发挥其逆周期调节作用，支持符合条件的表外资产回表。</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支持有非标准化债权类资产回表需求的银行发行二级资本债补充资本。</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五、过渡期结束后，对于由于特殊原因而难以回表的存量非标准化债权类资产，以及未到期的存量股权类资产，经金融监管部门同意，采取适当安排妥善处理。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六、过渡期内，由金融机构按照自主有序方式确定整改计划，经金融监管部门确认后执行。</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请将本通知转发至辖区内分支机构和金融机构执行，同时抄送银保监会、证监会当地派出机构。</w:t>
      </w:r>
    </w:p>
    <w:p w:rsidR="00B81BEB" w:rsidRPr="00B81BEB" w:rsidRDefault="00B81BEB" w:rsidP="00B81BEB">
      <w:pPr>
        <w:pStyle w:val="a8"/>
        <w:shd w:val="clear" w:color="auto" w:fill="FFFFFF"/>
        <w:wordWrap w:val="0"/>
        <w:spacing w:before="0" w:beforeAutospacing="0" w:after="225" w:afterAutospacing="0"/>
        <w:jc w:val="right"/>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中国人民银行办公厅</w:t>
      </w:r>
    </w:p>
    <w:p w:rsidR="00B81BEB" w:rsidRPr="00B81BEB" w:rsidRDefault="00B81BEB" w:rsidP="00B81BEB">
      <w:pPr>
        <w:pStyle w:val="a8"/>
        <w:shd w:val="clear" w:color="auto" w:fill="FFFFFF"/>
        <w:wordWrap w:val="0"/>
        <w:spacing w:before="0" w:beforeAutospacing="0" w:after="225" w:afterAutospacing="0"/>
        <w:jc w:val="right"/>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2018年7月20日</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附：</w:t>
      </w:r>
    </w:p>
    <w:p w:rsidR="00B81BEB" w:rsidRPr="00B81BEB" w:rsidRDefault="00B81BEB" w:rsidP="00B81BEB">
      <w:pPr>
        <w:pStyle w:val="a8"/>
        <w:shd w:val="clear" w:color="auto" w:fill="FFFFFF"/>
        <w:wordWrap w:val="0"/>
        <w:spacing w:before="0" w:beforeAutospacing="0" w:after="225" w:afterAutospacing="0"/>
        <w:jc w:val="center"/>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《关于进一步明确规范金融机构资产管理业务指导意见有关事项的通知》的说明</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 按照党中央、国务院的统一部署，人民银行会同有关部门认真落实党的十九大、中央经济工作会议、政府工作报告、十九届中央财经委员会第一次会议的精神，实施稳健中性货币政策，继续推进金融改革开放，规范金融秩序，坚决打好防范化解重大风险攻坚战。为进一步有效防控金融风险，引导社会资金流向实体经济，更好地支持经济结构调整和转型升级，制定了《关于进一步明确规范金融机构资产管理业务指导意见有关事项的通知》（以下简称《通知》）。</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 一、制定背景</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w:t>
      </w:r>
      <w:hyperlink r:id="rId64" w:history="1">
        <w:r w:rsidRPr="00B81BEB">
          <w:rPr>
            <w:rFonts w:ascii="微软雅黑" w:eastAsia="微软雅黑" w:hAnsi="微软雅黑" w:hint="eastAsia"/>
            <w:color w:val="333333"/>
            <w:sz w:val="27"/>
            <w:szCs w:val="27"/>
          </w:rPr>
          <w:t>关于规范金融机构资产管理业务的指导意见</w:t>
        </w:r>
      </w:hyperlink>
      <w:r w:rsidRPr="00B81BEB">
        <w:rPr>
          <w:rFonts w:ascii="微软雅黑" w:eastAsia="微软雅黑" w:hAnsi="微软雅黑" w:hint="eastAsia"/>
          <w:color w:val="333333"/>
          <w:sz w:val="27"/>
          <w:szCs w:val="27"/>
        </w:rPr>
        <w:t>》（</w:t>
      </w:r>
      <w:hyperlink r:id="rId65" w:history="1">
        <w:r w:rsidRPr="00B81BEB">
          <w:rPr>
            <w:rFonts w:ascii="微软雅黑" w:eastAsia="微软雅黑" w:hAnsi="微软雅黑" w:hint="eastAsia"/>
            <w:color w:val="333333"/>
            <w:sz w:val="27"/>
            <w:szCs w:val="27"/>
          </w:rPr>
          <w:t>银发〔2018〕106号</w:t>
        </w:r>
      </w:hyperlink>
      <w:r w:rsidRPr="00B81BEB">
        <w:rPr>
          <w:rFonts w:ascii="微软雅黑" w:eastAsia="微软雅黑" w:hAnsi="微软雅黑" w:hint="eastAsia"/>
          <w:color w:val="333333"/>
          <w:sz w:val="27"/>
          <w:szCs w:val="27"/>
        </w:rPr>
        <w:t>，以下简称《</w:t>
      </w:r>
      <w:hyperlink r:id="rId66"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》）自4月27日发布实施以来，在规范资产管理市场秩序、防范金融风险等方面发挥了积极作用。为更好地贯彻落实《</w:t>
      </w:r>
      <w:hyperlink r:id="rId67"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》，人民银行会同银保监会、证监会制定了《通知》，就过渡期内有关具体的操作性问题进行明确，以促进《</w:t>
      </w:r>
      <w:hyperlink r:id="rId68"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》平稳实施。</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《通知》的主要内容包括：一是进一步明确公募资产管理产品的投资范围；二是进一步明晰过渡期内相关产品的估值方法；三是进一步明确过渡期的宏观审慎政策安排。</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二、公募资产管理产品的投资范围</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《通知》对《</w:t>
      </w:r>
      <w:hyperlink r:id="rId69"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》第十条进行了进一步阐释，明确公募资产管理产品除主要投资标准化债权类资产和上市交易的股票外，还可以适当投资非标准化债权类资产（以下简称非标），但应当符合《</w:t>
      </w:r>
      <w:hyperlink r:id="rId70"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关于非标投资的期限匹配、限额管理、信息披露等监管规定。同时，为给予金融机构发行新产品和培育投资者一定时间，《通知》进一步明确，过渡期内，金融机构可以适当发行一部分老产品投资一些新资产，但这些新资产应当优先满足国家重点领域和重大工程建设续建项目以及中小微企业的融资需求。同时强调，老产品的整体规模必须控制在《</w:t>
      </w:r>
      <w:hyperlink r:id="rId71"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》发布前存量产品的整体规模之内，所投资新资产的到期日不得晚于2020年底。</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三、资产管理产品的估值方法</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《通知》按照《</w:t>
      </w:r>
      <w:hyperlink r:id="rId72"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的要求，对资产管理产品实行净值化管理，金融资产坚持公允价值计量原则，鼓励使用市值计量。考虑到部分资产尚不具备以市值计量的条件，过渡期内封闭期在半年以上的定期开放式资产管理产品、银行现金管理类理财产品适用摊余成本计量。</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四、过渡期结束后的安排</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为认真落实《</w:t>
      </w:r>
      <w:hyperlink r:id="rId73"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关于“确保平稳过渡”的要求，《通知》明确提出，对于过渡期结束后难以消化的存量非标，可以转回银行资产负债表内，人民银行在宏观审慎评估（MPA）考核时将合理调整有关参数予以支持。同时，为解决表外回表占用资本问题，支持商业银行通过发行二级资本债补充资本。</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对于因特殊原因难以回表的非标和过渡期后仍未到期的少量股权类资产，《通知》明确，经金融监管部门同意后，金融机构可以合理妥善处理。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此外，为促进有序整改，《通知》按照《</w:t>
      </w:r>
      <w:hyperlink r:id="rId74"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》要求，由金融机构自主制定整改计划，监管部门予以监督指导。 一行两会齐出重磅政策 一文尽揽最全要点 &lt;Wind资讯&gt;</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证券时报分析认为，此前长达一年多的金融强监管政策正迎来边际放松。除了理财新规给银行理财转型些许“喘息”外，近日央行和银保监会要求银行要加大信贷投放和投资信用债，有评论称新一轮信用扩张已启动。这些迹象都说明行业监管政策正从“去杠杆”转变为“稳杠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央行发布资管新规细则</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7月19日晚间，央行发布《关于进一步明确规范金融机构资产管理业务指导意见有关事项的通知》。</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资管新规执行细则规定五大内容</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1、明确公募资管产品可以适当投资非标</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《通知》对《</w:t>
      </w:r>
      <w:hyperlink r:id="rId75"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》第十条进行了进一步阐释，明确公募资产管理产品除主要投资标准化债权类资产和上市交易的股票外，还可以适当投资非标准化债权类资产（以下简称非标），但应当符合《</w:t>
      </w:r>
      <w:hyperlink r:id="rId76"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》关于非标投资的期限匹配、限额管理、信息披露等监管规定。</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实际上，资管新规并未明确禁止公募资管产品投资非标，《通知》只是进一步明确可以投资。</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《通知》要求，公募资产管理产品除主要投资标准化债权类资产和上市交易的股票，还可以适当投资非标准化债权类资产，但应当符合《</w:t>
      </w:r>
      <w:hyperlink r:id="rId77" w:history="1">
        <w:r w:rsidRPr="00B81BEB">
          <w:rPr>
            <w:rFonts w:ascii="微软雅黑" w:eastAsia="微软雅黑" w:hAnsi="微软雅黑" w:hint="eastAsia"/>
            <w:color w:val="333333"/>
            <w:sz w:val="27"/>
            <w:szCs w:val="27"/>
          </w:rPr>
          <w:t>指导意见</w:t>
        </w:r>
      </w:hyperlink>
      <w:r w:rsidRPr="00B81BEB">
        <w:rPr>
          <w:rFonts w:ascii="微软雅黑" w:eastAsia="微软雅黑" w:hAnsi="微软雅黑" w:hint="eastAsia"/>
          <w:color w:val="333333"/>
          <w:sz w:val="27"/>
          <w:szCs w:val="27"/>
        </w:rPr>
        <w:t>》关于非标准化债权类资产投资的期限匹配、限额管理、信息披露等监管要求。</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2、老产品可以投资新资产</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称，过渡期内，金融机构可以发行老产品投资新资产，优先满足国家重点领域和重大工程建设续建项目以及中小微企业融资需求，但老产品的整体规模应当控制在资管新规发布前存量产品的整体规模内，且所投资新资产的到期日不得晚于2020年底。</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3、部分定期开放式资管产品可用摊余成本法计量</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通知》表示，过渡期内，对于封闭期在半年以上的定期开放式资产管理产品，投资以收取合同现金流量为目的并持有到期的债券，可使用摊余成本计量，但定期开放式产品持有资产组合的久期不得长于封闭期的1.5倍。</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一银行业分析人士对券商中国记者表示，此条对银行理财来说是重大利好，减少了银行理财的转型压力，意味着过渡期内，作为银行理财的主力产品，预期收益型理财模式仍能持续，只不多产品久期受一定限制，</w:t>
      </w:r>
      <w:r w:rsidRPr="00B81BEB">
        <w:rPr>
          <w:rFonts w:ascii="微软雅黑" w:eastAsia="微软雅黑" w:hAnsi="微软雅黑" w:hint="eastAsia"/>
          <w:color w:val="333333"/>
          <w:sz w:val="27"/>
          <w:szCs w:val="27"/>
        </w:rPr>
        <w:lastRenderedPageBreak/>
        <w:t>但至少可能解决理财客户的接受问题。毕竟银行理财客户习惯了预期收益型产品，净值化产品短期内很难接受。</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银行的现金管理类产品在严格监管的前提下，暂参照货币市场基金的“摊余成本+影子定价”方法进行估值。这一要求与今日发布的理财新规一致。</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4、非标回表要求放松，鼓励发行二级资本债</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对于通过各种措施确实难以消化、需要回表的存量非标准化债权类资产，在宏观审慎评估（MPA）考核时，合理调整有关参数，发挥其逆周期调节作用，支持符合条件的表外资产回表。</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支持有非标准化债权类资产回表需求的银行发行二级资本债补充资本。</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过渡期结束后，对于由于特殊原因而难以回表的存量非标准化债权类资产，以及未到期的存量股权类资产，经金融监管部门同意，采取适当安排妥善处理。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b/>
          <w:bCs/>
          <w:sz w:val="27"/>
          <w:szCs w:val="27"/>
        </w:rPr>
        <w:t>5、不硬性设置阶段性压降要求，金融机构自主整改</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过渡期内，由金融机构按照自主有序方式确定整改计划，经金融监管部门确认后执行。</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央行顾问黄益平谈资管新规执行细则</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根据券商中国7月20日报道，央行顾问黄益平最新表态：</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银行理财新规征求公众意见</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银保监会官方网站7月19日晚间公布，“银保监会就《商业银行理财业务监督管理办法（征求意见稿）》公开征求意见”（下称办法），此外银保监会有关部门负责人就此回答记者提问。</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划重点：</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《办法》与“资管新规”保持一致，主要对商业银行理财业务提出了以下监管要求：</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7大细节值得关注</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业内认为，该新规有7大细节值得关注。</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保本理财和结构性存款如何规范</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现有的保本理财产品和结构性存款如何规范管理？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答案在这里——</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保本型理财产品按照结构性存款或者其他存款进行规范管理。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中国证券报记者了解到，目前银行发行的理财产品主要有保本型和非保本型理财产品两大类。非保本型理财产品为真正意义上的资管产品；保本型理财产品按照是否挂钩衍生产品，可以分为结构性理财产品和非结构性理财产品，应分别按照结构性存款或者其他存款进行管理。结构性存款在国际上普遍存在，在法律关系、业务实质、管理模式、会计处理、</w:t>
      </w:r>
      <w:r w:rsidRPr="00B81BEB">
        <w:rPr>
          <w:rFonts w:ascii="微软雅黑" w:eastAsia="微软雅黑" w:hAnsi="微软雅黑" w:hint="eastAsia"/>
          <w:color w:val="333333"/>
          <w:sz w:val="27"/>
          <w:szCs w:val="27"/>
        </w:rPr>
        <w:lastRenderedPageBreak/>
        <w:t>风险隔离等方面，与非保本型理财产品“代客理财”的资产管理属性存在本质差异。</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《办法》规定保本型理财产品按照结构性存款或者其他存款进行规范管理。同时，在附则中承接并进一步明确现行监管制度中关于结构性存款的相关要求包括</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关于银行理财产品的非标准化债权类资产投资</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一是期限匹配。按照“资管新规”相关要求，除另有规定外，理财资金投资非标准化债权类资产的，资产的终止日不得晚于封闭式理财产品的到期日或开放式理财产品的最近一次开放日；投资未上市企业股权的，应当为封闭式理财产品，且需要期限匹配。</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二是限额和集中度管理。延续现行监管规定，要求银行理财产品投资非标准化债权类资产的余额，不得超过理财产品净资产的35%或银行总资产的4%；投资单一机构及其关联企业的非标准化债权类资产余额，不得超过银行资本净额的10%。</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三是认定标准。“资管新规”明确由中国人民银行会同金融监督管理部门另行制定标准化债权类资产的具体认定规则，《办法》将从其规定。</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金融股强势反弹，机构看多银行股</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19日，上证综指午后单边上攻收涨2%报2829.27点，连续收复多道均线并终结五连跌。上证50一度涨逾3%。</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金融板块当仁不让成为全场焦点，成都银行、江阴银行、吴江银行、张家港行集体涨停，建设银行涨近7%，工商银行涨近6%。</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保险股火力全开，新华保险大涨9%，中国太保涨逾5%；券商股亦有贡献，南京证券涨近7%。</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多元金融板块掀涨停潮，民生控股、江苏国信、中航资本、安信信托、江苏租赁集体涨停。</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证券时报分析指出，此前长达一年多的金融强监管政策正迎来边际放松。除了理财新规给银行理财转型些许“喘息”外，近日央行和银保监会要求银行要加大信贷投放和投资信用债，有评论称新一轮信用扩张已启动。这些迹象都说明行业监管政策从“去杠杆”转变为“稳杠杆”。</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因此，有观点认为，银行板块的底部已经确认，估值将回升。</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中信建投证券银行组研报就认为，在面对外部中美贸易战不确定和国内信用市场过度紧张的背景下，国内宏观货币政策和行业监管政策在适度边际放松，近期出台的一系列监管政策都是在稳杠杆。稳杠杆将有助于消除信用紧缩风险，同时切断信用市场风险向银行信贷资产的迁移。银行板块底部确立，四季度行情将好于三季度，估值可以从0.7倍PB回升到0.9倍。</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不过，值得注意的是，新规细则真正落地后，实际上与资管新规相比并无明显改动，分析人士普遍认为利好弱于预期，所以下周一开盘金融股能否涨势如虹仍有待观察。</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lastRenderedPageBreak/>
        <w:t>证监会就私募资产管理业务管理办法征求意见</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除了央行、银保监会，19日晚间证监会也发布了新政。证监会就《证券期货经营机构私募资产管理业务管理办法（征求意见稿）》及其配套细则对外公开征求意见。</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21世纪经济报道分析认为，证监会新规较现行监管规定略有放宽。</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证监会发言人介绍，近年来，证券期货经营机构私募资管业务发展较快。截至2018年6月，证券期货经营机构私募资管业务规模合计25.91万亿元，其中证券公司及其子公司约14.92万亿元，基金公司及其子公司约10.83万亿元，期货公司及其子公司约1600亿元。</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2018年4月27日，《关于规范金融机构资产管理业务的指导意见》（以下简称《指导意见》）正式发布实施，证券期货经营机构对照要求，积极推进存量业务和产品的规范。</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此次征求意见的《资管业务新规》，是在系统整合证券期货经营机构私募资管业务现行监管规定的基础上，全面落实《指导意见》相关要求，并吸收近年来证监会在私募资管业务防风险领域行之有效的监管经验，对证券期货经营机构私募资管业务进行系统规范，拟作为《指导意见》配套细则发布实施。</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证监会发言人表示，《资管业务新规》多数为2016年以来证监会落实依法全面从严监管，针对证券期货经营机构私募资管业务出台的政策，具有较高的政策延续性，且部分指标在对标《指导意见》后，较现行监</w:t>
      </w:r>
      <w:r w:rsidRPr="00B81BEB">
        <w:rPr>
          <w:rFonts w:ascii="微软雅黑" w:eastAsia="微软雅黑" w:hAnsi="微软雅黑" w:hint="eastAsia"/>
          <w:color w:val="333333"/>
          <w:sz w:val="27"/>
          <w:szCs w:val="27"/>
        </w:rPr>
        <w:lastRenderedPageBreak/>
        <w:t>管规定略有放宽。总体看，有利于实现证券期货经营机构存量资管业务平稳过渡，进一步提升证券期货经营机构私募资管业务的合规管理和风险控制水平，切实保护投资者合法权益，防范系统性风险。起草过程中，始终坚持四项基本原则：</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一是统一监管规则，促进公平竞争。一方面，统一证券公司、基金管理公司、期货公司及其子公司等各类证券期货经营机构私募资管业务监管规则，消除监管套利。另一方面，对标《指导意见》，并与其他金融监管机构有关资管业务监管规则保持衔接一致。</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二是立足有效整合，坚持问题导向。原则上不对现有监管体制和规则作大的改动，总结近年来私募资管业务突出问题和监管经验，重点在加强风险防控、规制关联交易、防范利益输送、压实经营机构主体责任等方面，完善制度体系。</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三是细化指标流程，提高可操作性。按照《指导意见》的要求，《资管业务新规》进一步明确了资管产品的投资者适当性管理、非标债权类资产投资的限额管理、流动性指标管理、信息披露等具体指标和监管要求，简便可行。</w:t>
      </w:r>
    </w:p>
    <w:p w:rsidR="00B81BEB" w:rsidRPr="00B81BEB" w:rsidRDefault="00B81BEB" w:rsidP="00B81BEB">
      <w:pPr>
        <w:pStyle w:val="a8"/>
        <w:shd w:val="clear" w:color="auto" w:fill="FFFFFF"/>
        <w:wordWrap w:val="0"/>
        <w:spacing w:before="0" w:beforeAutospacing="0" w:after="225" w:afterAutospacing="0"/>
        <w:rPr>
          <w:rFonts w:ascii="微软雅黑" w:eastAsia="微软雅黑" w:hAnsi="微软雅黑"/>
          <w:color w:val="333333"/>
          <w:sz w:val="27"/>
          <w:szCs w:val="27"/>
        </w:rPr>
      </w:pPr>
      <w:r w:rsidRPr="00B81BEB">
        <w:rPr>
          <w:rFonts w:ascii="微软雅黑" w:eastAsia="微软雅黑" w:hAnsi="微软雅黑" w:hint="eastAsia"/>
          <w:color w:val="333333"/>
          <w:sz w:val="27"/>
          <w:szCs w:val="27"/>
        </w:rPr>
        <w:t>四是增加规则弹性，确保平稳过渡。立足当前市场运行特点和存量资管业务情况，设置了与《指导意见》相同的过渡期，并且作了“新老划断”的柔性安排。过渡期内，各机构在有序压缩存量尚不符合《资管业务新规》规定的产品整体规模的前提下，允许存量尚不符合《资管业务新规》规定的产品滚动续作，且不统一限定整改进度，允许机构结合自身情况</w:t>
      </w:r>
      <w:r w:rsidRPr="00B81BEB">
        <w:rPr>
          <w:rFonts w:ascii="微软雅黑" w:eastAsia="微软雅黑" w:hAnsi="微软雅黑" w:hint="eastAsia"/>
          <w:color w:val="333333"/>
          <w:sz w:val="27"/>
          <w:szCs w:val="27"/>
        </w:rPr>
        <w:lastRenderedPageBreak/>
        <w:t>有序规范，逐步消化，实现新旧规则的平稳、有序衔接。过渡期结束后，对于确因特殊原因难以规范的存量非标准化债权类资产，以及未到期的存量非标准化股权类资产，经证监会同意，采取适当安排妥善处理。</w:t>
      </w: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rPr>
          <w:rFonts w:ascii="微软雅黑" w:eastAsia="微软雅黑" w:hAnsi="微软雅黑" w:cs="宋体"/>
          <w:color w:val="333333"/>
          <w:kern w:val="0"/>
          <w:sz w:val="27"/>
          <w:szCs w:val="27"/>
        </w:rPr>
      </w:pPr>
    </w:p>
    <w:p w:rsidR="00B81BEB" w:rsidRDefault="00B81BEB" w:rsidP="00B81BEB">
      <w:pPr>
        <w:pStyle w:val="3"/>
        <w:jc w:val="center"/>
        <w:rPr>
          <w:sz w:val="30"/>
          <w:szCs w:val="30"/>
        </w:rPr>
      </w:pPr>
      <w:bookmarkStart w:id="62" w:name="_Toc12864222"/>
      <w:r w:rsidRPr="00B81BEB">
        <w:rPr>
          <w:rFonts w:hint="eastAsia"/>
          <w:sz w:val="30"/>
          <w:szCs w:val="30"/>
        </w:rPr>
        <w:lastRenderedPageBreak/>
        <w:t>应收账款质押登记办法（中国人民银行令〔</w:t>
      </w:r>
      <w:r w:rsidRPr="00B81BEB">
        <w:rPr>
          <w:rFonts w:hint="eastAsia"/>
          <w:sz w:val="30"/>
          <w:szCs w:val="30"/>
        </w:rPr>
        <w:t>2017</w:t>
      </w:r>
      <w:r w:rsidRPr="00B81BEB">
        <w:rPr>
          <w:rFonts w:hint="eastAsia"/>
          <w:sz w:val="30"/>
          <w:szCs w:val="30"/>
        </w:rPr>
        <w:t>〕第</w:t>
      </w:r>
      <w:r w:rsidRPr="00B81BEB">
        <w:rPr>
          <w:rFonts w:hint="eastAsia"/>
          <w:sz w:val="30"/>
          <w:szCs w:val="30"/>
        </w:rPr>
        <w:t>3</w:t>
      </w:r>
      <w:r w:rsidRPr="00B81BEB">
        <w:rPr>
          <w:rFonts w:hint="eastAsia"/>
          <w:sz w:val="30"/>
          <w:szCs w:val="30"/>
        </w:rPr>
        <w:t>号）</w:t>
      </w:r>
      <w:bookmarkEnd w:id="62"/>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根据《中华人民共和国物权法》等相关法律规定，中国人民银行对《应收账款质押登记办法》（中国人民银行令〔2007〕第4号发布）进行了修订，经2017年8月24日第8次行长办公会议通过，现予发布，自2017年12月1日起施行。</w:t>
      </w:r>
    </w:p>
    <w:p w:rsidR="00B81BEB" w:rsidRPr="00B81BEB" w:rsidRDefault="00B81BEB" w:rsidP="00B81BEB">
      <w:pPr>
        <w:widowControl/>
        <w:shd w:val="clear" w:color="auto" w:fill="FFFFFF"/>
        <w:jc w:val="right"/>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行　长　　周小川        </w:t>
      </w:r>
    </w:p>
    <w:p w:rsidR="00B81BEB" w:rsidRPr="00B81BEB" w:rsidRDefault="00B81BEB" w:rsidP="00B81BEB">
      <w:pPr>
        <w:widowControl/>
        <w:shd w:val="clear" w:color="auto" w:fill="FFFFFF"/>
        <w:jc w:val="right"/>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2017年10月25日      </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应收账款质押登记办法</w:t>
      </w: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（2007年9月26日第21次行长办公会通过，2017年8月24日第8次行长办</w:t>
      </w: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公会通过修订）</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第一章　总　　则</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第一条　为规范应收账款质押登记，保护质押当事人和利害关系人的合法权益，根据《中华人民共和国物权法》等相关法律规定，制定本办法。</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第二条　本办法所称应收账款是指权利人因提供一定的货物、服务或设施而获得的要求义务人付款的权利以及依法享有的其他付款请求</w:t>
      </w:r>
      <w:r w:rsidRPr="00B81BEB">
        <w:rPr>
          <w:rFonts w:ascii="微软雅黑" w:eastAsia="微软雅黑" w:hAnsi="微软雅黑" w:cs="宋体" w:hint="eastAsia"/>
          <w:color w:val="333333"/>
          <w:kern w:val="0"/>
          <w:sz w:val="27"/>
          <w:szCs w:val="27"/>
        </w:rPr>
        <w:lastRenderedPageBreak/>
        <w:t>权，包括现有的和未来的金钱债权，但不包括因票据或其他有价证券而产生的付款请求权，以及法律、行政法规禁止转让的付款请求权。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本办法所称的应收账款包括下列权利：</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（一）销售、出租产生的债权，包括销售货物，供应水、电、气、暖，知识产权的许可使用，出租动产或不动产等；</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（二）提供医疗、教育、旅游等服务或劳务产生的债权；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（三）能源、交通运输、水利、环境保护、市政工程等基础设施和公用事业项目收益权；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（四）提供贷款或其他信用活动产生的债权；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（五）其他以合同为基础的具有金钱给付内容的债权。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第三条　本办法所称应收账款质押是指《中华人民共和国物权法》第二百二十三条规定的应收账款出质，具体是指为担保债务的履行，债务人或者第三人将其合法拥有的应收账款出质给债权人，债务人不履行到期债务或者发生当事人约定的实现质权的情形，质权人有权就该应收账款及其收益优先受偿。</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第四条　中国人民银行征信中心（以下简称征信中心）是应收账款质押的登记机构。</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征信中心建立基于互联网的登记公示系统（以下简称登记公示系统），办理应收账款质押登记，并为社会公众提供查询服务。</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第五条　中国人民银行对征信中心办理应收账款质押登记有关活动进行管理。</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lastRenderedPageBreak/>
        <w:t>第六条　在同一应收账款上设立多个权利的，质权人按照登记的先后顺序行使质权。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第二章　登记与查询</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第七条　应收账款质押登记通过登记公示系统办理。</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第八条　应收账款质押登记由质权人办理。质权人办理质押登记前，应与出质人签订登记协议。登记协议应载明如下内容：</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（一）质权人与出质人已签订质押合同；</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（二）由质权人办理质押登记。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质权人也可以委托他人办理登记。委托他人办理登记的，适用本办法关于质权人办理登记的规定。</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第九条　质权人办理应收账款质押登记时，应注册为登记公示系统的用户。</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第十条　登记内容包括质权人和出质人的基本信息、应收账款的描述、登记期限。质权人应将本办法第八条规定的协议作为登记附件提交登记公示系统。</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出质人或质权人为单位的，应填写单位的法定注册名称、住所、法定代表人或负责人姓名、组织机构代码或金融机构编码、工商注册号、法人和其他组织统一社会信用代码、全球法人机构识别编码等机构代码或编码。</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lastRenderedPageBreak/>
        <w:t>出质人或质权人为个人的，应填写有效身份证件号码、有效身份证件载明的地址等信息。</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质权人可以与出质人约定将主债权金额等项目作为登记内容。</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第十一条　质权人应将填写完毕的登记内容提交登记公示系统。登记公示系统记录提交时间并分配登记编号，生成应收账款质押登记初始登记证明和修改码提供给质权人。</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第十二条　质权人应根据主债权履行期限合理确定登记期限。登记期限最短6个月，超过6个月的，按年计算，最长不超过30年。</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第十三条　在登记期限届满前90日内，质权人可以申请展期。</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质权人可以多次展期，展期期限按年计算，每次不得超过30年。</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第十四条　登记内容存在遗漏、错误等情形或登记内容发生变化的，质权人应当办理变更登记。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质权人在原质押登记中增加新的应收账款出质的，新增加的部分视为新的质押登记。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第十五条　质权人办理登记时所填写的出质人法定注册名称或有效身份证件号码变更的，质权人应在变更之日起4个月内办理变更登记。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第十六条　质权人办理展期、变更登记的，应当提交与出质人就展期、变更事项达成的登记协议。</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第十七条　有下列情形之一的，质权人应自该情形产生之日起10日内办理注销登记：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（一）主债权消灭；</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（二）质权实现；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lastRenderedPageBreak/>
        <w:t>（三）质权人放弃登记载明的应收账款之上的全部质权；</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（四）其他导致所登记权利消灭的情形。</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质权人迟延办理注销登记，给他人造成损害的，应当承担相应的法律责任。</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第十八条　质权人凭修改码办理展期、变更登记、注销登记。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第十九条　出质人或其他利害关系人认为登记内容错误的，可以要求质权人变更登记或注销登记。质权人不同意变更或注销的，出质人或其他利害关系人可以办理异议登记。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办理异议登记的出质人或其他利害关系人可以自行注销异议登记。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第二十条　出质人或其他利害关系人应在异议登记办理完毕之日起7日内通知质权人。</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第二十一条　出质人或其他利害关系人自异议登记之日起30日内，未将争议起诉或提请仲裁并在登记公示系统提交案件受理通知的，征信中心撤销异议登记。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第二十二条　征信中心应按照出质人或其他利害关系人、质权人的要求，根据生效的法院判决、裁定或仲裁机构裁决撤销应收账款质押登记或异议登记。</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第二十三条　质权人办理变更登记和注销登记、出质人或其他利害关系人办理异议登记后，登记公示系统记录登记时间、分配登记编号，并生成变更登记、注销登记或异议登记证明。</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lastRenderedPageBreak/>
        <w:t>第二十四条　质权人、出质人和其他利害关系人应当按照登记公示系统提示项目如实登记，提供虚假材料办理登记、给他人造成损害的，应当承担相应的法律责任。</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第二十五条　任何单位和个人均可以在注册为登记公示系统的用户后，查询应收账款质押登记信息。</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第二十六条　出质人为单位的，查询人以出质人的法定注册名称进行查询。</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出质人为个人的，查询人以出质人的身份证件号码进行查询。</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第二十七条　征信中心根据查询人的申请，提供查询证明。</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第二十八条　质权人、出质人或其他利害关系人、查询人可以通过证明编号在登记公示系统对登记证明和查询证明进行验证。</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第三章　征信中心的职责</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第二十九条　征信中心应当采取技术措施和其他必要措施，维护登记公示系统安全、正常运行，防止登记信息泄露、丢失。</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第三十条　征信中心应当制定登记操作规则和内部管理制度，并报中国人民银行备案。</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第三十一条　登记注销或登记期限届满后，征信中心应当对登记记录进行电子化离线保存，保存期限为15年。</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jc w:val="center"/>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第四章　附　　则</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第三十二条　征信中心按照国务院价格主管部门批准的收费标准收取应收账款登记服务费用。</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第三十三条　权利人在登记公示系统办理以融资为目的的应收账款转让登记，参照本办法的规定。</w:t>
      </w:r>
    </w:p>
    <w:p w:rsidR="00B81BEB" w:rsidRPr="00B81BEB" w:rsidRDefault="00B81BEB" w:rsidP="00B81BEB">
      <w:pPr>
        <w:widowControl/>
        <w:shd w:val="clear" w:color="auto" w:fill="FFFFFF"/>
        <w:ind w:firstLine="480"/>
        <w:rPr>
          <w:rFonts w:ascii="微软雅黑" w:eastAsia="微软雅黑" w:hAnsi="微软雅黑" w:cs="宋体"/>
          <w:color w:val="333333"/>
          <w:kern w:val="0"/>
          <w:sz w:val="27"/>
          <w:szCs w:val="27"/>
        </w:rPr>
      </w:pPr>
      <w:r w:rsidRPr="00B81BEB">
        <w:rPr>
          <w:rFonts w:ascii="微软雅黑" w:eastAsia="微软雅黑" w:hAnsi="微软雅黑" w:cs="宋体" w:hint="eastAsia"/>
          <w:color w:val="333333"/>
          <w:kern w:val="0"/>
          <w:sz w:val="27"/>
          <w:szCs w:val="27"/>
        </w:rPr>
        <w:t>第三十四条　本办法自2007年10月1日起施行。</w:t>
      </w:r>
    </w:p>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Pr>
        <w:pStyle w:val="2"/>
        <w:jc w:val="center"/>
      </w:pPr>
      <w:bookmarkStart w:id="63" w:name="_Toc12864223"/>
      <w:r>
        <w:rPr>
          <w:rFonts w:hint="eastAsia"/>
        </w:rPr>
        <w:t>4</w:t>
      </w:r>
      <w:r>
        <w:rPr>
          <w:rFonts w:hint="eastAsia"/>
        </w:rPr>
        <w:t>、</w:t>
      </w:r>
      <w:r>
        <w:t>保监会文件</w:t>
      </w:r>
      <w:bookmarkEnd w:id="63"/>
    </w:p>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Pr>
        <w:pStyle w:val="3"/>
        <w:jc w:val="center"/>
        <w:rPr>
          <w:sz w:val="30"/>
          <w:szCs w:val="30"/>
        </w:rPr>
      </w:pPr>
      <w:bookmarkStart w:id="64" w:name="_Toc12864224"/>
      <w:r w:rsidRPr="00B81BEB">
        <w:rPr>
          <w:rFonts w:hint="eastAsia"/>
          <w:sz w:val="30"/>
          <w:szCs w:val="30"/>
        </w:rPr>
        <w:lastRenderedPageBreak/>
        <w:t>关于加强保险资金运用管理支持防范化解地方政府债务风险的指导意见（保监发〔</w:t>
      </w:r>
      <w:r w:rsidRPr="00B81BEB">
        <w:rPr>
          <w:rFonts w:hint="eastAsia"/>
          <w:sz w:val="30"/>
          <w:szCs w:val="30"/>
        </w:rPr>
        <w:t>2018</w:t>
      </w:r>
      <w:r w:rsidRPr="00B81BEB">
        <w:rPr>
          <w:rFonts w:hint="eastAsia"/>
          <w:sz w:val="30"/>
          <w:szCs w:val="30"/>
        </w:rPr>
        <w:t>〕</w:t>
      </w:r>
      <w:r w:rsidRPr="00B81BEB">
        <w:rPr>
          <w:rFonts w:hint="eastAsia"/>
          <w:sz w:val="30"/>
          <w:szCs w:val="30"/>
        </w:rPr>
        <w:t>6</w:t>
      </w:r>
      <w:r w:rsidRPr="00B81BEB">
        <w:rPr>
          <w:rFonts w:hint="eastAsia"/>
          <w:sz w:val="30"/>
          <w:szCs w:val="30"/>
        </w:rPr>
        <w:t>号）</w:t>
      </w:r>
      <w:bookmarkEnd w:id="64"/>
    </w:p>
    <w:tbl>
      <w:tblPr>
        <w:tblW w:w="4987" w:type="pct"/>
        <w:jc w:val="center"/>
        <w:tblCellSpacing w:w="0" w:type="dxa"/>
        <w:tblInd w:w="81" w:type="dxa"/>
        <w:tblCellMar>
          <w:left w:w="0" w:type="dxa"/>
          <w:right w:w="0" w:type="dxa"/>
        </w:tblCellMar>
        <w:tblLook w:val="04A0" w:firstRow="1" w:lastRow="0" w:firstColumn="1" w:lastColumn="0" w:noHBand="0" w:noVBand="1"/>
      </w:tblPr>
      <w:tblGrid>
        <w:gridCol w:w="638"/>
        <w:gridCol w:w="7646"/>
      </w:tblGrid>
      <w:tr w:rsidR="00B81BEB" w:rsidRPr="00B81BEB" w:rsidTr="00B81BEB">
        <w:trPr>
          <w:trHeight w:val="87"/>
          <w:tblCellSpacing w:w="0" w:type="dxa"/>
          <w:jc w:val="center"/>
        </w:trPr>
        <w:tc>
          <w:tcPr>
            <w:tcW w:w="5000" w:type="pct"/>
            <w:gridSpan w:val="2"/>
            <w:vAlign w:val="center"/>
            <w:hideMark/>
          </w:tcPr>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各保险集团（控股）公司、保险公司、保险资产管理公司，各省（自治区、直辖市、计划单列市）政府性债务管理领导小组办公室：</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党的十九大报告指出，要坚决打好防范化解重大风险等攻坚战。为深入学习贯彻党的十九大精神，落实全国金融工作会议和中央经济工作会议部署，强化保险机构责任意识，支持保险机构更加安全高效服务实体经济，防范化解地方债务风险，现提出如下指导意见。</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一、积极支持依法合规开展投资</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机构应当认真贯彻落实党中央、国务院关于金融支持实体经济的决策部署，充分发挥保险资金优势，为关系国计民生的各类基础设施项目和民生工程提供长期资金支持。保险机构应当严格执行《中华人民共和国预算法》《中华人民共和国担保法》和《国务院关于加强地方政府性债务管理的意见》（国发〔2014〕43号）等法律和规定，依法合规开展投资业务，鼓励保险机构购买地方政府债券，严禁违法违规向地方政府提供融资，不得要求地方政府违法违规提供担保。地方政府及其所属部门不得以文件、会议纪要、领导批示等任何形式，向保险机构违法违规或变相举债。除外国政府和国际经济组织贷款转贷外，地方政府及其所属部门不得对保险机构投资业务中任何单位和个人的债务提供任何方式的担保。</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lastRenderedPageBreak/>
              <w:t xml:space="preserve">　　二、妥善配合存量债务风险处置</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机构应当妥善处理涉及地方债务的存量投资业务，逐笔排查是否合法合规。属于违法违规行为的，保险机构应当严格按照国务院要求，积极配合有关部门和地方政府进行整改，依法妥善处置，并及时报告中国保监会。属于合法合规行为的，保险机构应当加强存续期风险监测。各省（自治区、直辖市、计划单列市）政府性债务管理领导小组办公室要加强工作组织协调，结合地方政府融资担保清理整改工作进展，及时按要求提供涉及保险机构的相关融资担保信息，积极支持保险机构妥善开展存量债务风险处置工作。财政部驻各地财政监察专员办事处要密切跟踪相关情况，发现问题及时书面报告财政部，抄送中国保监会。</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三、切实规范投资融资平台公司行为</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机构向融资平台公司提供债权投资的，应当对投资是否符合相关法律法规出具专项法律意见。融资平台公司作为融资主体的，其自有现金流应当覆盖全部应还债务本息，并向保险机构主动声明不承担政府融资职能，且2015年1月1日起其新增债务依法不属于地方政府债务。投资项目为公益性项目的，应当符合法律或国务院规定，且融资主体和担保主体不得同为融资平台公司。还款来源涉及财政性资金的，保险机构应当严格核实地方政府履行相关程序的合规性和完备性，并进一步综合区域经济和财政实力、拟投项目可行性等因素，充分评估地方政府的财政可承受力，审慎开展投资。保险机构要将融资平台公司视同一般国有企业，根据项目情况而不是政府信用独立开展风险评估，严格实施市</w:t>
            </w:r>
            <w:r w:rsidRPr="00B81BEB">
              <w:rPr>
                <w:rFonts w:ascii="微软雅黑" w:eastAsia="微软雅黑" w:hAnsi="微软雅黑" w:cs="宋体"/>
                <w:color w:val="333333"/>
                <w:kern w:val="0"/>
                <w:sz w:val="27"/>
                <w:szCs w:val="27"/>
              </w:rPr>
              <w:lastRenderedPageBreak/>
              <w:t>场化融资。</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地方各级政府要贯彻落实中共中央办公厅、国务院办公厅《关于全面推进政务公开工作的意见》等规定和要求，全面推进地方政府预决算、部门预决算信息公开，以及各类举债融资行为的信息公开，保障保险机构等主体知情权，回应社会关切。规范融资平台公司融资信息披露，严禁与地方政府信用挂钩的误导性宣传。</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四、审慎合规开展创新业务</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机构开展保险私募基金、股权投资计划、政府和社会资本合作（PPP）等保险资金运用创新业务，要遵循审慎合规原则，投资收益应当与被投资企业的经营业绩或股权投资基金的投资收益挂钩，不得要求地方政府或融资平台公司通过支付固定投资回报或约定到期、强制赎回投资本金等方式承诺保障本金和投资收益，不得为地方政府违法违规或变相举债提供任何形式的便利。鼓励地方政府和保险机构规范运用政府和社会资本合作（PPP）、政府投资基金等方式，支持经济社会发展的重点领域和薄弱环节。坚决制止地方政府以引入保险机构等社会资本名义，通过融资平台公司、政府投资基金等方式违法违规或变相举债上新项目、铺新摊子。</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五、着力强化行业风险管理</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保险业相关行业组织应当切实发挥行业平台作用，在基础设施投资计划等保险资产管理产品注册、登记相关工作中，依法加强对保险资金</w:t>
            </w:r>
            <w:r w:rsidRPr="00B81BEB">
              <w:rPr>
                <w:rFonts w:ascii="微软雅黑" w:eastAsia="微软雅黑" w:hAnsi="微软雅黑" w:cs="宋体"/>
                <w:color w:val="333333"/>
                <w:kern w:val="0"/>
                <w:sz w:val="27"/>
                <w:szCs w:val="27"/>
              </w:rPr>
              <w:lastRenderedPageBreak/>
              <w:t>运用涉及的地方债务风险的监测，严格查验投资合规性。同时，加快探索建立行业性的区域信用风险评估框架，逐步健全行业性风险预警机制，及时向保险机构提示风险。各省（自治区、直辖市、计划单列市）政府性债务管理领导小组办公室要加快建立跨部门联合监测和防控机制，统计监测涉及保险机构的政府中长期支出事项以及向融资平台公司提供的债权投资情况，加强信息共享和数据校验，定期通报监测结果，支持保险机构完善风险管理体系。</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六、严格落实市场主体责任</w:t>
            </w:r>
          </w:p>
          <w:p w:rsidR="00B81BEB" w:rsidRPr="00B81BEB" w:rsidRDefault="00B81BEB" w:rsidP="00B81BEB">
            <w:pPr>
              <w:widowControl/>
              <w:spacing w:before="100" w:beforeAutospacing="1" w:after="100" w:afterAutospacing="1" w:line="432" w:lineRule="auto"/>
              <w:jc w:val="lef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保险机构作为保险资金运用主体，要严格落实风险管理责任。保险机构违法违规向地方政府提供融资的，应当自行承担相应损失，并依规追究相关机构和人员责任。为保险资金运用提供服务的律师事务所、会计师事务所等中介服务机构及其有关人员，要遵守执业规范和职业道德，客观公正、勤勉尽责，独立发表专业意见。其未尽责履职，或出具的报告含有虚假记载、误导性陈述或者重大遗漏的，应当承担相应法律责任。</w:t>
            </w:r>
          </w:p>
          <w:p w:rsidR="00B81BEB" w:rsidRPr="00B81BEB" w:rsidRDefault="00B81BEB" w:rsidP="00B81BEB">
            <w:pPr>
              <w:widowControl/>
              <w:spacing w:before="100" w:beforeAutospacing="1" w:after="100" w:afterAutospacing="1" w:line="432" w:lineRule="auto"/>
              <w:jc w:val="right"/>
              <w:rPr>
                <w:rFonts w:ascii="微软雅黑" w:eastAsia="微软雅黑" w:hAnsi="微软雅黑" w:cs="宋体"/>
                <w:color w:val="333333"/>
                <w:kern w:val="0"/>
                <w:sz w:val="27"/>
                <w:szCs w:val="27"/>
              </w:rPr>
            </w:pPr>
            <w:r w:rsidRPr="00B81BEB">
              <w:rPr>
                <w:rFonts w:ascii="微软雅黑" w:eastAsia="微软雅黑" w:hAnsi="微软雅黑" w:cs="宋体"/>
                <w:color w:val="333333"/>
                <w:kern w:val="0"/>
                <w:sz w:val="27"/>
                <w:szCs w:val="27"/>
              </w:rPr>
              <w:t xml:space="preserve">　　财政部　中国保监会</w:t>
            </w:r>
          </w:p>
          <w:p w:rsidR="00B81BEB" w:rsidRPr="00B81BEB" w:rsidRDefault="00B81BEB" w:rsidP="00B81BEB">
            <w:pPr>
              <w:widowControl/>
              <w:spacing w:before="100" w:beforeAutospacing="1" w:after="100" w:afterAutospacing="1" w:line="432" w:lineRule="auto"/>
              <w:jc w:val="right"/>
              <w:rPr>
                <w:rFonts w:ascii="Arial" w:eastAsia="宋体" w:hAnsi="Arial" w:cs="Arial"/>
                <w:kern w:val="0"/>
                <w:sz w:val="24"/>
                <w:szCs w:val="24"/>
              </w:rPr>
            </w:pPr>
            <w:r w:rsidRPr="00B81BEB">
              <w:rPr>
                <w:rFonts w:ascii="微软雅黑" w:eastAsia="微软雅黑" w:hAnsi="微软雅黑" w:cs="宋体"/>
                <w:color w:val="333333"/>
                <w:kern w:val="0"/>
                <w:sz w:val="27"/>
                <w:szCs w:val="27"/>
              </w:rPr>
              <w:t xml:space="preserve">　　2018年1月8日</w:t>
            </w:r>
          </w:p>
        </w:tc>
      </w:tr>
      <w:tr w:rsidR="00B81BEB" w:rsidRPr="00B81BEB" w:rsidTr="00B81BEB">
        <w:trPr>
          <w:tblCellSpacing w:w="0" w:type="dxa"/>
          <w:jc w:val="center"/>
          <w:hidden/>
        </w:trPr>
        <w:tc>
          <w:tcPr>
            <w:tcW w:w="385" w:type="pct"/>
            <w:hideMark/>
          </w:tcPr>
          <w:p w:rsidR="00B81BEB" w:rsidRPr="00B81BEB" w:rsidRDefault="00B81BEB" w:rsidP="00B81BEB">
            <w:pPr>
              <w:widowControl/>
              <w:spacing w:line="432" w:lineRule="auto"/>
              <w:jc w:val="left"/>
              <w:rPr>
                <w:rFonts w:ascii="Arial" w:eastAsia="宋体" w:hAnsi="Arial" w:cs="Arial"/>
                <w:vanish/>
                <w:kern w:val="0"/>
                <w:sz w:val="24"/>
                <w:szCs w:val="24"/>
              </w:rPr>
            </w:pPr>
            <w:r w:rsidRPr="00B81BEB">
              <w:rPr>
                <w:rFonts w:ascii="Arial" w:eastAsia="宋体" w:hAnsi="Arial" w:cs="Arial"/>
                <w:vanish/>
                <w:kern w:val="0"/>
                <w:sz w:val="24"/>
                <w:szCs w:val="24"/>
              </w:rPr>
              <w:lastRenderedPageBreak/>
              <w:t xml:space="preserve">  </w:t>
            </w:r>
          </w:p>
          <w:p w:rsidR="00B81BEB" w:rsidRPr="00B81BEB" w:rsidRDefault="00B81BEB" w:rsidP="00B81BEB">
            <w:pPr>
              <w:widowControl/>
              <w:spacing w:before="100" w:beforeAutospacing="1" w:after="100" w:afterAutospacing="1" w:line="432" w:lineRule="auto"/>
              <w:jc w:val="left"/>
              <w:rPr>
                <w:rFonts w:ascii="Arial" w:eastAsia="宋体" w:hAnsi="Arial" w:cs="Arial"/>
                <w:vanish/>
                <w:kern w:val="0"/>
                <w:sz w:val="24"/>
                <w:szCs w:val="24"/>
              </w:rPr>
            </w:pPr>
            <w:r w:rsidRPr="00B81BEB">
              <w:rPr>
                <w:rFonts w:ascii="Arial" w:eastAsia="宋体" w:hAnsi="Arial" w:cs="Arial"/>
                <w:vanish/>
                <w:kern w:val="0"/>
                <w:sz w:val="24"/>
                <w:szCs w:val="24"/>
              </w:rPr>
              <w:t>附件下载</w:t>
            </w:r>
            <w:r w:rsidRPr="00B81BEB">
              <w:rPr>
                <w:rFonts w:ascii="Arial" w:eastAsia="宋体" w:hAnsi="Arial" w:cs="Arial"/>
                <w:vanish/>
                <w:kern w:val="0"/>
                <w:sz w:val="24"/>
                <w:szCs w:val="24"/>
              </w:rPr>
              <w:t>:</w:t>
            </w:r>
          </w:p>
        </w:tc>
        <w:tc>
          <w:tcPr>
            <w:tcW w:w="4615" w:type="pct"/>
            <w:hideMark/>
          </w:tcPr>
          <w:p w:rsidR="00B81BEB" w:rsidRPr="00B81BEB" w:rsidRDefault="00B81BEB" w:rsidP="00B81BEB">
            <w:pPr>
              <w:widowControl/>
              <w:spacing w:line="432" w:lineRule="auto"/>
              <w:jc w:val="left"/>
              <w:rPr>
                <w:rFonts w:ascii="Arial" w:eastAsia="宋体" w:hAnsi="Arial" w:cs="Arial"/>
                <w:vanish/>
                <w:kern w:val="0"/>
                <w:sz w:val="24"/>
                <w:szCs w:val="24"/>
              </w:rPr>
            </w:pPr>
            <w:r w:rsidRPr="00B81BEB">
              <w:rPr>
                <w:rFonts w:ascii="Arial" w:eastAsia="宋体" w:hAnsi="Arial" w:cs="Arial"/>
                <w:vanish/>
                <w:kern w:val="0"/>
                <w:sz w:val="24"/>
                <w:szCs w:val="24"/>
              </w:rPr>
              <w:t xml:space="preserve">  </w:t>
            </w:r>
          </w:p>
          <w:p w:rsidR="00B81BEB" w:rsidRPr="00B81BEB" w:rsidRDefault="00B81BEB" w:rsidP="00B81BEB">
            <w:pPr>
              <w:widowControl/>
              <w:jc w:val="left"/>
              <w:rPr>
                <w:rFonts w:ascii="Arial" w:eastAsia="宋体" w:hAnsi="Arial" w:cs="Arial"/>
                <w:vanish/>
                <w:kern w:val="0"/>
                <w:sz w:val="24"/>
                <w:szCs w:val="24"/>
              </w:rPr>
            </w:pPr>
          </w:p>
        </w:tc>
      </w:tr>
    </w:tbl>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B81BEB" w:rsidP="00B81BEB"/>
    <w:p w:rsidR="00B81BEB" w:rsidRDefault="00C01B82" w:rsidP="00C01B82">
      <w:pPr>
        <w:pStyle w:val="3"/>
        <w:jc w:val="center"/>
        <w:rPr>
          <w:sz w:val="30"/>
          <w:szCs w:val="30"/>
        </w:rPr>
      </w:pPr>
      <w:bookmarkStart w:id="65" w:name="_Toc12864225"/>
      <w:r w:rsidRPr="00C01B82">
        <w:rPr>
          <w:rFonts w:hint="eastAsia"/>
          <w:sz w:val="30"/>
          <w:szCs w:val="30"/>
        </w:rPr>
        <w:lastRenderedPageBreak/>
        <w:t>保监会发布《关于债权投资计划投资重大工程有关事项的通知》</w:t>
      </w:r>
      <w:bookmarkEnd w:id="65"/>
    </w:p>
    <w:p w:rsidR="00C01B82" w:rsidRPr="00C01B82" w:rsidRDefault="00C01B82" w:rsidP="00C01B82">
      <w:pPr>
        <w:widowControl/>
        <w:spacing w:before="100" w:beforeAutospacing="1" w:after="100" w:afterAutospacing="1" w:line="36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各保险集团（控股）公司、保险公司、保险资产管理公司：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为支持保险资金投资关系国计民生的重大工程，进一步服务实体经济，根据《基础设施债权投资计划管理暂行规定》（保监发〔2012〕92号），现就有关事项通知如下：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一、债权投资计划投资经国务院或国务院投资主管部门核准的重大工程，且偿债主体具有AAA级长期信用级别的，可免于信用增级。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二、债权投资计划投资“一带一路”、京津冀协同发展、长江经济带、军民融合、《中国制造2025》、河北雄安新区等国家发展战略重大工程的，注册机构建立专门的业务受理及注册绿色通道，优先受理。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三、本通知自公布之日起施行。 </w:t>
      </w:r>
    </w:p>
    <w:p w:rsidR="00C01B82" w:rsidRPr="00C01B82" w:rsidRDefault="00C01B82" w:rsidP="00C01B82">
      <w:pPr>
        <w:widowControl/>
        <w:spacing w:before="100" w:beforeAutospacing="1" w:after="100" w:afterAutospacing="1" w:line="360" w:lineRule="atLeast"/>
        <w:ind w:firstLine="6720"/>
        <w:jc w:val="righ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中国保监会 2017年5月16日</w:t>
      </w:r>
    </w:p>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Pr>
        <w:pStyle w:val="3"/>
        <w:jc w:val="center"/>
        <w:rPr>
          <w:sz w:val="30"/>
          <w:szCs w:val="30"/>
        </w:rPr>
      </w:pPr>
      <w:bookmarkStart w:id="66" w:name="_Toc12864226"/>
      <w:r w:rsidRPr="00C01B82">
        <w:rPr>
          <w:rFonts w:hint="eastAsia"/>
          <w:sz w:val="30"/>
          <w:szCs w:val="30"/>
        </w:rPr>
        <w:lastRenderedPageBreak/>
        <w:t>中国保监会关于保险资金投资政府和社会资本合作项目有关事项的通知（保监发〔</w:t>
      </w:r>
      <w:r w:rsidRPr="00C01B82">
        <w:rPr>
          <w:rFonts w:hint="eastAsia"/>
          <w:sz w:val="30"/>
          <w:szCs w:val="30"/>
        </w:rPr>
        <w:t>2017</w:t>
      </w:r>
      <w:r w:rsidRPr="00C01B82">
        <w:rPr>
          <w:rFonts w:hint="eastAsia"/>
          <w:sz w:val="30"/>
          <w:szCs w:val="30"/>
        </w:rPr>
        <w:t>〕</w:t>
      </w:r>
      <w:r w:rsidRPr="00C01B82">
        <w:rPr>
          <w:rFonts w:hint="eastAsia"/>
          <w:sz w:val="30"/>
          <w:szCs w:val="30"/>
        </w:rPr>
        <w:t>41</w:t>
      </w:r>
      <w:r w:rsidRPr="00C01B82">
        <w:rPr>
          <w:rFonts w:hint="eastAsia"/>
          <w:sz w:val="30"/>
          <w:szCs w:val="30"/>
        </w:rPr>
        <w:t>号）</w:t>
      </w:r>
      <w:bookmarkEnd w:id="66"/>
    </w:p>
    <w:p w:rsidR="00C01B82" w:rsidRPr="00C01B82" w:rsidRDefault="00C01B82" w:rsidP="00C01B82">
      <w:pPr>
        <w:widowControl/>
        <w:spacing w:before="100" w:beforeAutospacing="1" w:after="100" w:afterAutospacing="1" w:line="36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各保监局，各保险集团（控股）公司、保险公司、保险资产管理公司：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为深入贯彻落实《中共中央 国务院关于深化投融资体制改革的意见》（中发〔2016〕18号）和《国务院关于加快发展现代保险服务业的若干意见》（国发〔2014〕29号）精神，推动政府和社会资本合作（PPP）项目融资方式创新，支持保险资金更好服务实体经济，根据《保险资金间接投资基础设施项目管理办法》（以下简称《管理办法》）等规定，现就保险资金投资PPP项目有关事项通知如下：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一、本通知所称保险资金投资PPP项目，是指保险资产管理公司等专业管理机构作为受托人，发起设立基础设施投资计划，面向保险机构等合格投资者发行受益凭证募集资金，向与政府方签订PPP项目合同的项目公司提供融资，投资符合规定的PPP项目。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二、投资计划投资的PPP项目，除满足《管理办法》第十一、十二条的有关规定外，还应当符合以下条件：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（一）属于国家级或省级重点项目，已履行审批、核准、备案手续和PPP实施方案审查审批程序，并纳入国家发展改革委PPP项目库或财政部全国PPP综合信息平台项目库。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lastRenderedPageBreak/>
        <w:t xml:space="preserve">（二）承担项目建设或运营管理责任的主要社会资本方为行业龙头企业，主体信用评级不低于AA+，最近两年在境内市场公开发行过债券。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（三）PPP项目合同的签约政府方为地市级（含）以上政府或其授权的机构，PPP项目合同中约定的财政支出责任已纳入年度财政预算和中期财政规划。所处区域金融环境和信用环境良好，政府负债水平较低。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（四）建立了合理的投资回报机制，预期能够产生持续、稳定的现金流，社会效益良好。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三、投资计划可以采取债权、股权、股债结合等可行方式，投资一个或一组合格的PPP项目。投资计划应当符合以下条件：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（一）经专业律师出具专项法律意见，认定投资的PPP项目运作程序合规，相关PPP项目合同规范有效。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（二）具有预期稳定现金流，可以覆盖投资计划的投资本金和合理收益，并设定明确可行、合法合规的退出机制。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（三）投资协议明确约定，在投资计划存续期间主要社会资本方转让项目公司股权的，须取得投资计划受托人书面同意。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四、保险资产管理公司等专业管理机构担任投资计划受托人，应当具备基础设施投资计划或不动产投资计划产品创新能力，切实履行勤勉</w:t>
      </w:r>
      <w:r w:rsidRPr="00C01B82">
        <w:rPr>
          <w:rFonts w:ascii="微软雅黑" w:eastAsia="微软雅黑" w:hAnsi="微软雅黑" w:cs="宋体"/>
          <w:color w:val="333333"/>
          <w:kern w:val="0"/>
          <w:sz w:val="27"/>
          <w:szCs w:val="27"/>
        </w:rPr>
        <w:lastRenderedPageBreak/>
        <w:t xml:space="preserve">尽责义务，综合评估投资风险和收益，加强风险管控和投后管理，确保投资计划合法合规，维护保险资金安全。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五、中国保监会建立外部专家风险评审机制，督促投资计划充分揭示和披露投资风险。投资计划涉及“一带一路”、京津冀协同发展、长江经济带、脱贫攻坚和河北雄安新区等符合国家发展战略的重大项目的，中国保监会建立专门的业务受理及注册绿色通道。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六、各保监局应当根据当地监管实际，研究、反映保险资金投资PPP项目的情况和问题，协调、推动和落实保险资金投资PPP项目的相关政策，形成上下联动的资金运用监管工作机制。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七、投资计划运作管理及其它相关事项，按照《管理办法》的有关规定执行。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八、本《通知》自公布之日起施行。 </w:t>
      </w:r>
    </w:p>
    <w:p w:rsidR="00C01B82" w:rsidRPr="00C01B82" w:rsidRDefault="00C01B82" w:rsidP="00C01B82">
      <w:pPr>
        <w:widowControl/>
        <w:spacing w:before="100" w:beforeAutospacing="1" w:after="100" w:afterAutospacing="1" w:line="360" w:lineRule="atLeast"/>
        <w:ind w:firstLine="480"/>
        <w:jc w:val="lef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br/>
        <w:t xml:space="preserve">  </w:t>
      </w:r>
    </w:p>
    <w:p w:rsidR="00C01B82" w:rsidRPr="00C01B82" w:rsidRDefault="00C01B82" w:rsidP="00C01B82">
      <w:pPr>
        <w:widowControl/>
        <w:spacing w:before="100" w:beforeAutospacing="1" w:after="100" w:afterAutospacing="1" w:line="360" w:lineRule="atLeast"/>
        <w:jc w:val="righ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 xml:space="preserve">中国保监会 </w:t>
      </w:r>
    </w:p>
    <w:p w:rsidR="00C01B82" w:rsidRPr="00C01B82" w:rsidRDefault="00C01B82" w:rsidP="00C01B82">
      <w:pPr>
        <w:widowControl/>
        <w:spacing w:before="100" w:beforeAutospacing="1" w:after="100" w:afterAutospacing="1" w:line="360" w:lineRule="atLeast"/>
        <w:jc w:val="right"/>
        <w:rPr>
          <w:rFonts w:ascii="微软雅黑" w:eastAsia="微软雅黑" w:hAnsi="微软雅黑" w:cs="宋体"/>
          <w:color w:val="333333"/>
          <w:kern w:val="0"/>
          <w:sz w:val="27"/>
          <w:szCs w:val="27"/>
        </w:rPr>
      </w:pPr>
      <w:r w:rsidRPr="00C01B82">
        <w:rPr>
          <w:rFonts w:ascii="微软雅黑" w:eastAsia="微软雅黑" w:hAnsi="微软雅黑" w:cs="宋体"/>
          <w:color w:val="333333"/>
          <w:kern w:val="0"/>
          <w:sz w:val="27"/>
          <w:szCs w:val="27"/>
        </w:rPr>
        <w:t>2017年5月4日</w:t>
      </w:r>
    </w:p>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Pr>
        <w:pStyle w:val="3"/>
        <w:jc w:val="center"/>
        <w:rPr>
          <w:sz w:val="30"/>
          <w:szCs w:val="30"/>
        </w:rPr>
      </w:pPr>
      <w:bookmarkStart w:id="67" w:name="_Toc12864227"/>
      <w:r w:rsidRPr="00C01B82">
        <w:rPr>
          <w:rFonts w:hint="eastAsia"/>
          <w:sz w:val="30"/>
          <w:szCs w:val="30"/>
        </w:rPr>
        <w:lastRenderedPageBreak/>
        <w:t>中国保监会关于保险业支持实体经济发展的指导意见（保监发〔</w:t>
      </w:r>
      <w:r w:rsidRPr="00C01B82">
        <w:rPr>
          <w:rFonts w:hint="eastAsia"/>
          <w:sz w:val="30"/>
          <w:szCs w:val="30"/>
        </w:rPr>
        <w:t>2017</w:t>
      </w:r>
      <w:r w:rsidRPr="00C01B82">
        <w:rPr>
          <w:rFonts w:hint="eastAsia"/>
          <w:sz w:val="30"/>
          <w:szCs w:val="30"/>
        </w:rPr>
        <w:t>〕</w:t>
      </w:r>
      <w:r w:rsidRPr="00C01B82">
        <w:rPr>
          <w:rFonts w:hint="eastAsia"/>
          <w:sz w:val="30"/>
          <w:szCs w:val="30"/>
        </w:rPr>
        <w:t>42</w:t>
      </w:r>
      <w:r w:rsidRPr="00C01B82">
        <w:rPr>
          <w:rFonts w:hint="eastAsia"/>
          <w:sz w:val="30"/>
          <w:szCs w:val="30"/>
        </w:rPr>
        <w:t>号）</w:t>
      </w:r>
      <w:bookmarkEnd w:id="67"/>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各保险集团（控股）公司、保险公司、保险资产管理公司：</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为全面贯彻落实党中央、国务院关于金融支持实体经济的决策部署，充分发挥保险风险管理与保障功能，拓宽保险资金支持实体经济渠道，促进保险业持续向振兴实体经济发力、聚力，提升保险业服务实体经济的质量和效率，现提出以下意见：</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一、总体要求</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全面贯彻党的十八大和十八届三中、四中、五中、六中全会精神，深入贯彻习近平总书记系列重要讲话精神，充分认识金融服务实体经济的重要意义，坚持服务国家战略和实体经济的导向，发挥保险业务和资金独特优势，做实体经济服务者和价值的发现者；坚持改革创新的理念，适应实体经济发展的不同需求，不断创新保险产品、业务模式和保险资金运用方式，拓宽支持实体经济的渠道；坚持发挥市场在资源配置中的决定性作用，遵循依法合规和专业化、市场化运作原则。</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二、积极构筑实体经济的风险管理保障体系</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一）完善社会风险保障功能，发挥实体经济稳定器作用。积极发展企业财产保险、工程保险、责任保险、意外伤害保险等险种，为实体经济稳定运行提供风险保障。重点发展与公众利益关系密切的环境污染、食品安全、医疗责任、校园安全等领域的责任保险，充分发挥保险业辅助社会治理作用。推动完善大病保险制度，提高大病保险承办质量和统筹层次，推动大病保险政策向建档立卡贫困人群的倾斜，形成基本医保、</w:t>
      </w:r>
      <w:r w:rsidRPr="00C01B82">
        <w:rPr>
          <w:rFonts w:ascii="微软雅黑" w:eastAsia="微软雅黑" w:hAnsi="微软雅黑" w:cs="宋体" w:hint="eastAsia"/>
          <w:color w:val="333333"/>
          <w:kern w:val="0"/>
          <w:sz w:val="27"/>
          <w:szCs w:val="27"/>
        </w:rPr>
        <w:lastRenderedPageBreak/>
        <w:t>大病保险、社会救助等衔接机制。在总结试点经验基础上，推进税优健康保险在全国推广。积极推动个人税收递延养老保险试点政策出台并落地实施。鼓励保险公司创新开发产品，开展地方试点，准确把握社会需求，扩大承保覆盖面。指导保险公司提升理赔服务水平，切实化解矛盾纠纷，降低实体经济运行成本，共同参与和谐社会建设。</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二）完善农业风险管理机制，推动中国特色农业现代化。持续推进农业保险扩面、提标、增品，开发满足新型农业经营主体需求的保险产品，采取以奖代补方式支持地方开展特色农产品保险。开展农产品价格指数保险试点，探索建立农产品收入保险制度，稳步扩大“保险＋期货”试点，利用保险业务协同优势，运用农产品期货、期权等工具对冲有关风险。推进支农支小试点，探索支农支小融资模式创新，通过保险资产管理产品直接对接农户、农业合作社、小微企业和个体经营者的融资需求，丰富农业风险管理工具。完善农业保险大灾风险分散机制和农业再保险体系，持续助力现代农业发展。</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三）增强保险增信作用，助力小微企业融资和出口企业“走出去”。大力发展普惠金融，持续推动小额贷款保证保险业务发展，指导完善“政银保”模式运行机制，为小微企业融资提供保险增信服务，助力缓解小微企业融资难、融资贵问题。稳步推动短期出口信用保险发展，充分发挥信用保险功能作用，扩大信用保险覆盖面，支持我国外贸稳定增长，增强我国出口企业竞争力，为出口企业提供收汇风险保障。支持中长期出口信用险和海外投资险业务发展，促进我国企业“走出去”和“一带一路”建设。</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lastRenderedPageBreak/>
        <w:t xml:space="preserve">　　（四）发挥保险产品和资金优势，推动健康和养老产业发展。鼓励创新养老保险产品，发展多样化医疗健康保险服务。支持保险资金参与医疗、养老和健康产业投资，支持保险资金以投资新建、参股、并购等方式兴办养老社区，增加社会养老资源供给，促进保险业和养老产业共同发展。</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三、大力引导保险资金服务国家发展战略</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五）支持供给侧结构性改革。紧紧围绕供给侧结构性改革和“去产能、去库存、去杠杆、降成本、补短板”五大重点任务，积极发挥保险资金融通和引导作用。支持保险资产管理机构发起设立去产能并购重组基金，促进钢铁、煤炭等行业加快转型发展和实现脱困升级。支持保险资金发起设立债转股实施机构，开展市场化债转股业务。支持保险资产管理机构开展不良资产处置等特殊机会投资业务、发起设立专项债转股基金等。</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六）支持“一带一路”建设。推动保险机构不断提升境外投资能力，支持保险资金参与“一带一路”沿线国家和地区的重大基础设施、重要资源开发、关键产业合作和金融合作。支持保险资金为“一带一路”框架内的经贸合作和双边、多边的互联互通提供投融资支持，通过股权、债权、股债结合、基金等形式为大型投资项目提供长期资金支撑。鼓励中资保险机构“走出去”,在“一带一路”沿线国家或地区布局，为“一带一路”建设提供保险保障服务。</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（七）支持国家区域经济发展战略。鼓励保险资金服务京津冀协同发展、长江经济带以及西部开发、东北振兴、中部崛起、东部率先等区</w:t>
      </w:r>
      <w:r w:rsidRPr="00C01B82">
        <w:rPr>
          <w:rFonts w:ascii="微软雅黑" w:eastAsia="微软雅黑" w:hAnsi="微软雅黑" w:cs="宋体" w:hint="eastAsia"/>
          <w:color w:val="333333"/>
          <w:kern w:val="0"/>
          <w:sz w:val="27"/>
          <w:szCs w:val="27"/>
        </w:rPr>
        <w:lastRenderedPageBreak/>
        <w:t>域发展。支持保险资金对接国家自贸区建设和粤港澳大湾区等城市群发展的重点项目和工程。积极引导和支持保险资金参与雄安新区建设，探索新的投融资机制，对于新区的交通基础设施、水利、生态、能源、公共服务等重大项目给予长期资金支持。</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八）支持军民融合发展和《中国制造2025》。鼓励保险资金服务军民融合发展，积极探索保险资金参与军工产融合作模式，支持保险机构和军工企业共同发起设立保险军民融合发展基金。鼓励保险资产管理机构发起设立支持制造业创新发展、兼并重组和转型升级的债权计划、股权计划和股权投资基金等金融产品，更好服务《中国制造2025》各项任务。</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九）推进保险资金参与PPP项目和重大工程建设。支持符合条件的保险资产管理公司等专业管理机构，作为受托人发起设立基础设施投资计划，募集保险资金投资符合条件的PPP项目。在风险可控的前提下，调整PPP项目公司提供融资的主体资质、信用增级等监管要求，推动PPP项目融资模式创新。鼓励保险资金投资关系国计民生的各类基础设施项目和民生工程，逐步完善投资计划监管标准，放宽信用增级要求和担保主体范围，扩大免增信融资主体数量，创新交易结构，精准支持对宏观经济和区域经济具有重要带动作用的重点项目和工程。</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四、不断创新保险业服务实体经济形式</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（十）创新保险扶贫基金，助力国家脱贫攻坚战略。推进中国保险业产业扶贫投资基金，积极探索引导保险资金通过市场化产业投资开展对贫困地区的精准扶贫。设立中国保险业扶贫公益基金，创新保险产品</w:t>
      </w:r>
      <w:r w:rsidRPr="00C01B82">
        <w:rPr>
          <w:rFonts w:ascii="微软雅黑" w:eastAsia="微软雅黑" w:hAnsi="微软雅黑" w:cs="宋体" w:hint="eastAsia"/>
          <w:color w:val="333333"/>
          <w:kern w:val="0"/>
          <w:sz w:val="27"/>
          <w:szCs w:val="27"/>
        </w:rPr>
        <w:lastRenderedPageBreak/>
        <w:t>对贫困人口的精准扶贫。积极发挥中国保险投资基金和上海保险交易所服务国家脱贫攻坚战略的平台作用。</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一）创新再保险和巨灾险业务模式，为实体经济保驾护航。发挥再保险创新引领作用，建设区域性再保险中心，加大再保险对国家重点项目的大型风险、特殊风险的保险保障。发展巨灾保险，支持保险资产管理机构作为受托人，通过资产支持计划等形式开展巨灾保险风险证券化业务。</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二）完善新技术、新业态保险服务，支持实体经济创新战略。研究开展专利保险试点工作，分散科技企业创新风险，降低企业专利维权成本，为科技企业自主创新、融资、并购等提供全方位的保险服务。推广首台（套）重大技术装备的保险风险补偿机制，会同财政部、工信部修订首台（套）重大技术装备指导目录，研究深化首台（套）重大技术装备试点。研究启动新材料首批次应用保险补偿机制试点，促进企业创新和科技成果产业化。落实“互联网+”行动，鼓励保险机构围绕互联网开展商业模式、销售渠道、产品服务等领域的创新，更好满足不同层次实体经济的风险管理需求。</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五、持续改进和加强保险监管与政策引导</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三）逐步调整和优化比例及资本监管。注重风险实质判断，动态审慎调整投资资产的分类和资本要求。对于基础资产为国家政策明确支持的基础设施、保障房、城镇化建设等项目，且具有保证条款的股权计划和私募基金，研究调整其所属的大类资产类别和优化偿付能力资本</w:t>
      </w:r>
      <w:r w:rsidRPr="00C01B82">
        <w:rPr>
          <w:rFonts w:ascii="微软雅黑" w:eastAsia="微软雅黑" w:hAnsi="微软雅黑" w:cs="宋体" w:hint="eastAsia"/>
          <w:color w:val="333333"/>
          <w:kern w:val="0"/>
          <w:sz w:val="27"/>
          <w:szCs w:val="27"/>
        </w:rPr>
        <w:lastRenderedPageBreak/>
        <w:t>要求。研究保险资金投资金融产品的监管比例，按照基础资产属性实施穿透性监管。</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四）积极推进差异化监管和分类监管试点。研究推进差异化监管，对于经营运作稳健、资产负债管理科学、投资管理能力优良的保险机构，支持其开展各类创新试点业务。研究建立保险资金非重大股权投资负面清单制度，支持保险机构根据资产负债匹配和偿付能力状况自主选择所投资未上市企业的行业范围。对于保险资金投资国家发展战略和国家重大工程的项目和产品，在政策上给予适度倾斜，在产品注册、备案、审核等环节给予优先支持。</w:t>
      </w:r>
    </w:p>
    <w:p w:rsidR="00C01B82" w:rsidRPr="00C01B82" w:rsidRDefault="00C01B82" w:rsidP="00C01B82">
      <w:pPr>
        <w:widowControl/>
        <w:shd w:val="clear" w:color="auto" w:fill="FFFFFF"/>
        <w:spacing w:line="450" w:lineRule="atLeast"/>
        <w:jc w:val="lef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十五）着力防范和化解重点领域风险隐患。切实强化风险防范和监管，加强对重点风险领域和重点公司的风险预警，落实风险责任和责任追究机制。严格规范和治理违规开展关联交易、利益输送等行为，抑制产融无序结合和资金脱实向虚。坚持去杠杆、去嵌套、去通道导向，引导保险资金秉承价值投资、长期投资和稳健投资原则，为国家战略和实体经济提供长期稳定的优质资金。加强金融监管协调，防范风险跨行业传递，牢牢守住不发生系统性风险底线。</w:t>
      </w:r>
    </w:p>
    <w:p w:rsidR="00C01B82" w:rsidRPr="00C01B82" w:rsidRDefault="00C01B82" w:rsidP="00C01B82">
      <w:pPr>
        <w:widowControl/>
        <w:shd w:val="clear" w:color="auto" w:fill="FFFFFF"/>
        <w:spacing w:line="450" w:lineRule="atLeast"/>
        <w:jc w:val="righ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中国保监会</w:t>
      </w:r>
    </w:p>
    <w:p w:rsidR="00C01B82" w:rsidRPr="00C01B82" w:rsidRDefault="00C01B82" w:rsidP="00C01B82">
      <w:pPr>
        <w:widowControl/>
        <w:shd w:val="clear" w:color="auto" w:fill="FFFFFF"/>
        <w:spacing w:line="450" w:lineRule="atLeast"/>
        <w:jc w:val="right"/>
        <w:rPr>
          <w:rFonts w:ascii="微软雅黑" w:eastAsia="微软雅黑" w:hAnsi="微软雅黑" w:cs="宋体"/>
          <w:color w:val="333333"/>
          <w:kern w:val="0"/>
          <w:sz w:val="27"/>
          <w:szCs w:val="27"/>
        </w:rPr>
      </w:pPr>
      <w:r w:rsidRPr="00C01B82">
        <w:rPr>
          <w:rFonts w:ascii="微软雅黑" w:eastAsia="微软雅黑" w:hAnsi="微软雅黑" w:cs="宋体" w:hint="eastAsia"/>
          <w:color w:val="333333"/>
          <w:kern w:val="0"/>
          <w:sz w:val="27"/>
          <w:szCs w:val="27"/>
        </w:rPr>
        <w:t xml:space="preserve">　　                                                                         2017年5月4日</w:t>
      </w:r>
    </w:p>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Pr>
        <w:pStyle w:val="2"/>
        <w:jc w:val="center"/>
      </w:pPr>
      <w:bookmarkStart w:id="68" w:name="_Toc12864228"/>
      <w:r>
        <w:rPr>
          <w:rFonts w:hint="eastAsia"/>
        </w:rPr>
        <w:t>5</w:t>
      </w:r>
      <w:r>
        <w:rPr>
          <w:rFonts w:hint="eastAsia"/>
        </w:rPr>
        <w:t>、交易所文件</w:t>
      </w:r>
      <w:bookmarkEnd w:id="68"/>
    </w:p>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C01B82" w:rsidP="00C01B82"/>
    <w:p w:rsidR="00C01B82" w:rsidRDefault="00376D0B" w:rsidP="00376D0B">
      <w:pPr>
        <w:pStyle w:val="3"/>
        <w:jc w:val="center"/>
        <w:rPr>
          <w:sz w:val="30"/>
          <w:szCs w:val="30"/>
        </w:rPr>
      </w:pPr>
      <w:bookmarkStart w:id="69" w:name="_Toc12864229"/>
      <w:r w:rsidRPr="00376D0B">
        <w:rPr>
          <w:rFonts w:hint="eastAsia"/>
          <w:sz w:val="30"/>
          <w:szCs w:val="30"/>
        </w:rPr>
        <w:lastRenderedPageBreak/>
        <w:t>上海证券交易所政府和社会资本合作（</w:t>
      </w:r>
      <w:r w:rsidRPr="00376D0B">
        <w:rPr>
          <w:rFonts w:hint="eastAsia"/>
          <w:sz w:val="30"/>
          <w:szCs w:val="30"/>
        </w:rPr>
        <w:t>PPP</w:t>
      </w:r>
      <w:r w:rsidRPr="00376D0B">
        <w:rPr>
          <w:rFonts w:hint="eastAsia"/>
          <w:sz w:val="30"/>
          <w:szCs w:val="30"/>
        </w:rPr>
        <w:t>）项目资产支持证券挂牌条件确认指南</w:t>
      </w:r>
      <w:bookmarkEnd w:id="69"/>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第一条【制定依据】 为规范发展政府和社会资本合作项目（以下简称PPP项目）资产证券化业务，便于管理人和原始权益人等参与机构开展业务和加强风险管理，保护投资者合法权益，促进资产证券化业务健康发展，根据《中共中央国务院关于深化投融资体制改革的意见》（中发〔2016〕18号）、《证券公司及基金管理公司子公司资产证券化业务管理规定》（证监会公告〔2014〕49号）、《国家发展改革委 中国证监会关于推进传统基础设施领域政府和社会资本合作（PPP）项目资产证券化相关工作的通知》（发改投资〔2016〕2698号）、《财政部 中国人民银行 中国证监会关于规范开展政府和社会资本合作项目资产证券化有关事宜的通知》（财金〔2017〕55号）、《上海证券交易所资产支持证券挂牌条件确认业务指引》（上证发〔2017〕28号）等相关规定，制定本指南。</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第二条【产品定义】 本指南所称PPP项目资产支持证券，是指证券公司、基金管理公司子公司作为管理人，通过设立资产支持专项计划（以下简称“专项计划”）开展资产证券化业务，以PPP项目收益权、PPP项目资产、PPP项目公司股权等为基础资产或基础资产现金流来源所发行的资产支持证券。</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PPP项目收益权是在基础设施和公共服务领域开展政府和社会资本合作过程中，社会资本方（项目公司）与政府方签订PPP项目合同等协议，投资建设基础设施、提供相关公共产品或服务，并依据合同和</w:t>
      </w:r>
      <w:r w:rsidRPr="00376D0B">
        <w:rPr>
          <w:rFonts w:ascii="微软雅黑" w:eastAsia="微软雅黑" w:hAnsi="微软雅黑" w:cs="宋体" w:hint="eastAsia"/>
          <w:color w:val="333333"/>
          <w:kern w:val="0"/>
          <w:sz w:val="27"/>
          <w:szCs w:val="27"/>
        </w:rPr>
        <w:lastRenderedPageBreak/>
        <w:t>有关规定享有的取得相应收益的权利,包括收费权、收益权、合同债权等。PPP项目收益主要表现形式为使用者付费、政府付费或可行性缺口补助等。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资产是在基础设施和公共服务领域开展政府和社会资本合作过程中，社会资本方（项目公司）与政府方签订PPP项目合同等协议，并依据合同和有关规定享有所有权或用益物权的项目设施或其他资产，包括项目公司运营所需的动产（机器、设备等）、不动产（土地使用权、厂房、管道等）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公司股权是在基础设施和公共服务领域开展政府和社会资本合作过程中，社会资本方出资组建项目公司开展PPP项目的实施，并依据股东协议和项目公司章程等享有的资产收益、参与重大决策和选择管理者等权利。</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条【适用范围】本指南适用于社会资本方（项目公司）作为原始权益人的PPP项目资产支持证券在上海证券交易所（以下简称“本所”）挂牌转让申请。在《国家发展和改革委员会关于开展政府和社会资本合作的指导意见》（发改投资〔2014〕2724号）及《关于推广运用政府和社会资本合作模式有关问题的通知》（财金〔2014〕76号）发布以前已按照PPP模式实施并事先明确约定收益规则的项目开展资产证券化，以及其他PPP项目主要参与方，如提供融资的融资方、承包商等，以与PPP项目相关的基础资产或基础资产现金流来源开展资产证券化，申请在本所挂牌的，参照本指南执行。</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第四条【基础资产合格标准-PPP项目收益权】 社会资本方（项目公司）以PPP项目收益权作为基础资产开展证券化，原始权益人初始入池和后续循环购买入池（如有）的基础资产在基准日、专项计划设立日和循环购买日（如有）除满足基础资产合格标准的一般要求外，还需要符合以下特别要求：</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PPP项目已按规定完成PPP项目实施方案评审以及必要的审批、核准或备案等相关手续，社会资本方（项目公司）与政府方已签订有效的PPP项目合同；在能源、交通运输、水利、环境保护、市政工程等特定领域需要政府实施特许经营的，已按规定完成特许经营项目实施方案审定，特许经营者与政府方已签订有效的特许经营协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涉及新建或存量项目改建、依据项目合同约定在项目建成并开始运营后才获得相关付费的，社会资本方（项目公司）应完成项目建设或改建，按相关规定或合同约定经验收或政府方认可，并开始运营，有权按照规定或约定获得收益。</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3.PPP项目合同、融资合同未对社会资本方（项目公司）转让项目收益权作出限制性约定，或社会资本方（项目公司）已满足解除限制性约定的条件。</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PPP项目收益权相关的项目付费或收益情况在PPP合同及相关协议中有明确、清晰的约定。政府付费模式下，政府付费应纳入本级或本级以上政府财政预算、政府财政规划。可行性缺口补助模式下，可行性缺口补助涉及使用财政资金、政府投资资金的，应纳入本级或本级以上政府财政预算、政府财政规划。</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5.PPP项目资产或收益权未设定抵押、质押等权利负担。已经设有抵押、质押等权利负担的，通过专项计划安排能够予以解除，如偿还相关融资、取得相关融资方解除抵押、质押的同意等。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社会资本方（项目公司）与政府方不存在因PPP项目合同的重大违约、不可抗力因素影响项目持续建设运营，或导致付费机制重大调整等情形；也不存在因PPP项目合同或相关合同及其他重大纠纷而影响项目持续建设运营，或可能导致付费机制重大调整的协商、调解、仲裁或诉讼等情形。</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7. PPP项目不得存在政府方违规提供担保，或政府方采用固定回报、回购安排、明股实债等方式进行变相债务融资情形。</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8.PPP项目合同到期日应不早于资产支持证券的最晚到期日。</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9.相关主管部门以及本所确定的其他标准。</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第五条【建设期PPP项目收益权资产证券化的特殊规定】 PPP项目公司依据项目合同约定在项目建设期即开始获得相关付费的，可探索在项目建设期以未来收益作为基础资产，并合理设置资产证券化产品规模。</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第六条【基础资产合格标准-PPP项目资产】社会资本方（项目公司）以PPP项目资产作为基础资产开展证券化，除符合第四条关于PPP项目收益权的合格标准外，还需符合以下要求：</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1.PPP项目合同等约定社会资本方（项目公司）拥有PPP项目资产的所有权或用益物权，且该等资产可依法转让。</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2.PPP项目已经建成并开始运营。</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3.PPP项目合同、融资合同等不存在社会资本方（项目公司）转让项目资产的限制性约定，或已满足解除限制性约定的条件。</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4.社会资本方（项目公司）以PPP项目资产开展证券化，应继续履行项目运营责任，或重新确定履行项目运营责任的主体并经政府方等认可，确保不得影响基础设施的稳定运营或公共服务供给的持续性和稳定性。</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第七条【基础资产合格标准-PPP项目公司股权】社会资本方以PPP项目公司股权作为基础资产开展证券化，除符合上述PPP项目收益权的合格标准外，还需符合以下要求：</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1.PPP项目合同、项目公司股东协议或公司章程等对项目公司股东转让、质押项目公司股权及转让的受让方没有限制性约定，或已满足解除限制性约定的条件。</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2.PPP项目已经建成。</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3.PPP项目公司股东协议、公司章程等对项目公司股权股息分配的来源、分配比例、时间、程序、影响因素等，作出了明确约定。</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PPP项目公司股权股息分配来源于PPP项目收益或其他收益的，相关收益权不存在被转让的情形，且没有被设定质押等权利负担。相关收益权已经设有质押等权利负担的，应通过专项计划安排予以解除，如回购收益权、偿还相关融资、取得相关融资方解除质押的同意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5.PPP项目公司控股股东以项目公司股权作为基础资产发行资产支持证券的规模不得超过其持有股权带来的现金流现值的50%；其他股东发行规模不得超过其持有股权带来的现金流现值的70%。</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6.PPP项目公司控股股东以持有的项目公司股权发行资产支持证券，不得改变对项目公司的实际控制权和项目运营责任，不得影响基础设施的稳定运营或公共服务供给的持续性和稳定性。</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第八条【原始权益人的特别要求】社会资本方（项目公司）应具有持续经营能力，内部控制制度健全，最近三年未发生重大违约或虚假信息披露，无不良信用记录。</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第九条【优先鼓励的项目】鼓励社会资本方（项目公司）开展下列PPP项目资产证券化：</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1.行业龙头企业作为社会资本方参与建设运营；</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2.雄安新区和京津冀协同发展、“一带一路”建设、长江经济带建设以及新一轮东北地区等老工业基地振兴等符合国家战略的项目；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3.水务、环境保护、交通运输等市场化程度较高、公共服务需求稳定、现金流可预测性较强的行业项目；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4.项目所在地政府偿付能力较好、信用水平较高、严格履行PPP项目财政管理要求；</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5.其他具有稳定投资收益和良好社会效益的示范项目。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社会资本方（项目公司）可以以其建设运营的多个PPP项目中具有同质性的基础资产组成基础资产池开展证券化；可以将综合性PPP项目中权属清晰、现金流独立的部分子项目资产单独开展证券化。</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本所对PPP项目主管部门推荐的项目和中国政企合作支持基金投资的项目的资产证券化建立受理、审核绿色通道，专人专岗负责，提高受理、审核、挂牌的工作效率。</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第十条【解释权】本指南为开放性指南，将根据业务发展情况不定期修订并发布更新版本。本所对本指南保留最终解释权。</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第十一条【生效时间】本指南自发布之日起施行。</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 </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名词解释：</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政府和社会资本合作（Public-PrivatePartnerships，简称PPP），是指政府采取竞争性方式择优选择具有投资、运营管理能力的社会资本方，双方按照平等协商原则订立合同，明确责权利关系，由社会资本方提供公共产品或服务，政府向社会资本方支付相应对价，社会资本方获得合理收益的合作模式。PPP采取建设-运营-移交（BOT）、建设-拥有-运营（BOO）、建设－拥有－运营－移交（BOOT）、转让-运营-移交（TOT）、改建-运营-移交（ROT）、委托运营（O＆M）等运营方式。</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政府方，是指组织实施PPP项目并代表政府签署PPP项目合同的政府及其所属部门或事业单位。</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社会资本方，是指依法设立且有效存续的具有法人资格的企业，包括国有企业、民营企业、外国企业、外商投资企业、混合所有制企业，原则上不包括本级政府所属融资平台公司。社会资本方是PPP项目的实际投资人，实践中，社会资本方通常不会直接作为PPP项目的实施主体，而会专门针对该项目成立项目公司，作为PPP项目合同及项目其他相关合同的签约主体，负责项目具体实施。</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项目公司，是依法设立的自主运营、自负盈亏的具有独立法人资格的经营实体。项目公司可以由社会资本方（可以是一家企业，也可以是多家企业组成的联合体）出资设立，也可以由政府和社会资本方共同出资设立。</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合同，是指政府方与社会资本方（项目公司）依法就PPP项目合作所订立的合同，是政府方与社会资本方之间合理分配项目风险，明确双方权利义务关系以及PPP项目的交易结构，以保障双方能够依据合同约定合理主张权利，妥善履行义务，确保项目全生命周期内的顺利实施的相关安排。PPP项目合同是PPP整个合同体系的基础和核心。</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使用者付费（User Charges），是指由最终消费用户直接付费购买公共产品和服务。社会资本方（项目公司）直接从最终用户处收取费用，以回收项目的建设和运营成本并获得合理收益。</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政府付费（Government Payment），是指政府方直接付费购买公共产品和服务，政府方可以依据项目设施的可用性、产品或服务的使用量以及质量向项目公司付费。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可行性缺口补助（Viability Gap Funding），是指使用者付费不足以满足社会资本方（项目公司）成本回收和合理回报时，由政府方给予一定的经济补助，以弥补使用者付费之外的缺口部分。可行性缺口补助的形式可能包括土地划拨、投资入股、投资补助、价格补贴、优惠贷款、贷款贴息、放弃分红权、授予项目相关开发收益权等其中的一种或多种。</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可用性付费（Availability Payment），是指政府方依据社会资本方（项目公司）所提供的项目设施或服务是否符合合同约定的标准和要求来付费。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使用量付费（UsagePayment），是指政府方依据社会资本方（项目公司）所提供的项目设施或服务的实际使用量来付费。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绩效付费（Performance Payment），是指政府方依据社会资本方（项目公司）所提供的公共产品或服务的质量付费。通常政府方与项目公司会明确约定项目的绩效标准，并将政府付费与项目公司的绩效表现挂钩。</w:t>
      </w:r>
    </w:p>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Pr>
        <w:pStyle w:val="3"/>
        <w:jc w:val="center"/>
        <w:rPr>
          <w:sz w:val="30"/>
          <w:szCs w:val="30"/>
        </w:rPr>
      </w:pPr>
      <w:bookmarkStart w:id="70" w:name="_Toc12864230"/>
      <w:r w:rsidRPr="00376D0B">
        <w:rPr>
          <w:rFonts w:hint="eastAsia"/>
          <w:sz w:val="30"/>
          <w:szCs w:val="30"/>
        </w:rPr>
        <w:lastRenderedPageBreak/>
        <w:t>上海证券交易所政府和社会资本合作（</w:t>
      </w:r>
      <w:r w:rsidRPr="00376D0B">
        <w:rPr>
          <w:rFonts w:hint="eastAsia"/>
          <w:sz w:val="30"/>
          <w:szCs w:val="30"/>
        </w:rPr>
        <w:t>PPP</w:t>
      </w:r>
      <w:r w:rsidRPr="00376D0B">
        <w:rPr>
          <w:rFonts w:hint="eastAsia"/>
          <w:sz w:val="30"/>
          <w:szCs w:val="30"/>
        </w:rPr>
        <w:t>）项目资产支持证券信息披露指南（上海证券交易所</w:t>
      </w:r>
      <w:r w:rsidRPr="00376D0B">
        <w:rPr>
          <w:rFonts w:hint="eastAsia"/>
          <w:sz w:val="30"/>
          <w:szCs w:val="30"/>
        </w:rPr>
        <w:t>2017</w:t>
      </w:r>
      <w:r w:rsidRPr="00376D0B">
        <w:rPr>
          <w:rFonts w:hint="eastAsia"/>
          <w:sz w:val="30"/>
          <w:szCs w:val="30"/>
        </w:rPr>
        <w:t>年</w:t>
      </w:r>
      <w:r w:rsidRPr="00376D0B">
        <w:rPr>
          <w:rFonts w:hint="eastAsia"/>
          <w:sz w:val="30"/>
          <w:szCs w:val="30"/>
        </w:rPr>
        <w:t>10</w:t>
      </w:r>
      <w:r w:rsidRPr="00376D0B">
        <w:rPr>
          <w:rFonts w:hint="eastAsia"/>
          <w:sz w:val="30"/>
          <w:szCs w:val="30"/>
        </w:rPr>
        <w:t>月</w:t>
      </w:r>
      <w:r w:rsidRPr="00376D0B">
        <w:rPr>
          <w:rFonts w:hint="eastAsia"/>
          <w:sz w:val="30"/>
          <w:szCs w:val="30"/>
        </w:rPr>
        <w:t>19</w:t>
      </w:r>
      <w:r w:rsidRPr="00376D0B">
        <w:rPr>
          <w:rFonts w:hint="eastAsia"/>
          <w:sz w:val="30"/>
          <w:szCs w:val="30"/>
        </w:rPr>
        <w:t>日）</w:t>
      </w:r>
      <w:bookmarkEnd w:id="70"/>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第一章 总则</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条【制定依据】为规范发展政府和社会资本合作项目（以下简称PPP项目）资产证券化业务，便于管理人和原始权益人等参与机构开展业务和加强风险管理，保护投资者合法权益，促进资产证券化业务健康发展，根据《中共中央国务院关于深化投融资体制改革的意见》（中发〔2016〕18号）、《证券公司及基金管理公司子公司资产证券化业务管理规定》（证监会公告〔2014〕49号，以下简称《管理规定》）、《国家发展改革委 中国证监会关于推进传统基础设施领域政府和社会资本合作（PPP）项目资产证券化相关工作的通知》（发改投资〔2016〕2698号）、《财政部 中国人民银行 中国证监会关于规范开展政府和社会资本合作项目资产证券化有关事宜的通知》（财金〔2017〕55号）、《上海证券交易所资产支持证券挂牌条件确认业务指引》（上证发〔2017〕28号）等相关规定，制定本指南。</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第二条【产品定义】 本指南所称PPP项目资产支持证券，是指证券公司、基金管理公司子公司作为管理人，通过设立资产支持专项计划（以下简称“专项计划”）开展资产证券化业务，以PPP项目收益权、PPP项目资产、PPP项目公司股权等为基础资产或基础资产现金流来源所发行的资产支持证券。</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PPP项目收益权是在基础设施和公共服务领域开展政府和社会资本合作过程中，社会资本方（项目公司）与政府方签订PPP项目合同</w:t>
      </w:r>
      <w:r w:rsidRPr="00376D0B">
        <w:rPr>
          <w:rFonts w:ascii="微软雅黑" w:eastAsia="微软雅黑" w:hAnsi="微软雅黑" w:cs="宋体" w:hint="eastAsia"/>
          <w:color w:val="333333"/>
          <w:kern w:val="0"/>
          <w:sz w:val="27"/>
          <w:szCs w:val="27"/>
        </w:rPr>
        <w:lastRenderedPageBreak/>
        <w:t>等协议，投资建设基础设施、提供相关公共产品或服务，并依据合同和有关规定享有的取得相应收益的权利,包括收费权、收益权、合同债权等。PPP项目收益主要表现形式为使用者付费、政府付费或可行性缺口补助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资产是在基础设施和公共服务领域开展政府和社会资本合作过程中，社会资本方（项目公司）与政府方签订PPP项目合同等协议，并依据合同和有关规定享有所有权或用益物权的项目设施或其他资产，包括项目公司运营所需的动产（机器、设备等）、不动产（土地使用权、厂房、管道等）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公司股权是在基础设施和公共服务领域开展政府和社会资本合作过程中，社会资本方出资组建项目公司开展PPP项目的实施，并依据股东协议和项目公司章程等享有的资产收益、参与重大决策和选择管理者等权利。</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第三条【适用范围】 本指南适用于社会资本方（项目公司）作为原始权益人的PPP项目资产支持证券在上海证券交易所（以下简称“本所”）挂牌转让的信息披露专项要求。在《国家发展和改革委员会关于开展政府和社会资本合作的指导意见》（发改投资〔2014〕2724号）及《关于推广运用政府和社会资本合作模式有关问题的通知》（财金〔2014〕76号）发布以前已按照PPP模式实施并事先明确约定收益规则的项目开展资产证券化，以及其他PPP项目主要参与方，如提供融资的融资方、承包商等，以与PPP项目相关的基础资产或基础资产现金流来源开展资产证券化，在本所挂牌转让的，参照本指南执行。</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四条【信息披露责任】管理人及其他信息披露义务人应当按照《管理规定》、《证券公司及基金管理公司子公司资产证券化业务信息披露指引》、《上海证券交易所资产证券化业务指南》、本指南的规定以及计划说明书的约定履行信息披露义务，及时、公平地披露可能对资产支持证券产生重大影响的信息，并保证所披露的信息真实、准确、完整，不得有虚假记载、误导性陈述或者重大遗漏。</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本指南所称其他信息披露义务人包括但不限于托管人、律师事务所、资信评级机构、资产服务机构、现金流预测分析机构、不动产评估机构等。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第五条 【信息披露渠道】 资产支持证券在本所挂牌转让的，管理人及其他信息披露义务人应当在信息披露日前将披露文件报送本所。本所于信息披露当日通过本所网站或以本所认可的其他方式向合格投资者披露信息。</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本所对管理人及其他信息披露义务人披露的信息进行形式审核，对其内容的真实性不承担责任。</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第六条【信息保密义务】 管理人、其他服务机构及登记托管机构等相关知情人在信息披露前不得泄露拟披露的信息。</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第二章 发行环节信息披露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第七条【PPP项目情况-PPP项目收益权】 专项计划以PPP项目收益权作为基础资产的，计划说明书除按照资产支持证券一般要求进行编制和披露外，还应披露包括但不限于下述关于PPP项目建设、运营等相关信息：</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1.项目识别、准备和采购情况，包括PPP项目实施方案评审，项目立项审批、核准或备案情况，财政承受能力论证报告及物有所值评价报告相关信息（如有），PPP项目采购情况，PPP项目合同签订情况、入库情况等。在能源、交通运输、水利、环境保护、市政工程等特定领域需要政府实施特许经营的，应披露是否已按规定完成特许经营项目实施方案审定，特许经营者与政府方已签订有效的特许经营协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社会资本（项目公司）设立、运营情况，设立项目公司的，包括设立登记、股东认缴及实缴资本金、股权结构、增减资、项目公司内部控制情况、财务情况、提供履约担保情况等。PPP项目公司股东以项目公司股权开展资产证券化的，还包括项目股东情况、项目公司股权股息的分配情况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3.项目前期融资情况，包括融资机构名称、融资金额、融资结构及融资交割情况等。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建设情况，包括项目建设进度、质量以及是否符合相关政策法规和PPP项目合同约定的标准和要求；PPP项目涉及新建或存量项目改建后再运营并获得相关付费的，是否完成项目建设或改建，按相关规定或合同约定经验收或政府方认可，并开始运营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5.项目运营情况，包括已运营时间、项目维护、运营情况以及是否符合相关政策法规和PPP项目合同约定的标准和要求。</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6.项目付费或收益情况。计划管理人应当依据不同的付费模式，披露PPP项目合同、政府相关文件中约定的项目付费及收益情况：</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1）使用者付费模式下，包括但不限于使用者范围、付费条件、付费标准、付费期间、影响付费的因素等。如涉及付费调整的，应当披露调整的条件、方法及程序；涉及新建竞争性项目或限制社会资本方（项目公司）超额利润的，应当披露相关约定。</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政府付费模式下，采取可用性付费的，应披露对可用性标准、付费标准、付费时间、不可用情形及扣减机制的约定；采取使用量付费的，应披露对公共服务使用量计算标准、付费标准、付费时间、扣减机制的约定；采用绩效付费的，应披露对绩效标准、绩效考核机制、付费标准、付费时间、扣减机制的约定。如涉及付费调整的，应披露调整的条件、方法及程序。应披露政府付费纳入本级政府财政预算、中期财政规划的相关情况。</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可行性缺口补助模式下，除了披露对使用者付费机制作出的约定外，还应当披露政府给予的可行性缺口补助形式、数额、时间等约定。可行性缺口补助涉及使用财政资金、政府投资资金的，应披露纳入本级政府财政预算、中期财政规划及政府投资计划的相关情况。</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第八条【PPP项目情况-PPP项目资产】专项计划以PPP项目资产作为基础资产的，除按照PPP项目收益权的相关要求披露PPP项目建设、运营信息，还应当披露根据PPP项目合同等约定PPP项目资产权属情况。</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第九条【PPP项目情况-PPP项目公司股权】专项计划以PPP项目公司股权作为基础资产的，除按照PPP项目收益权的相关要求披露PPP项目建设、运营信息，还应当披露PPP项目公司股东协议、公司章程</w:t>
      </w:r>
      <w:r w:rsidRPr="00376D0B">
        <w:rPr>
          <w:rFonts w:ascii="微软雅黑" w:eastAsia="微软雅黑" w:hAnsi="微软雅黑" w:cs="宋体" w:hint="eastAsia"/>
          <w:color w:val="333333"/>
          <w:kern w:val="0"/>
          <w:sz w:val="27"/>
          <w:szCs w:val="27"/>
        </w:rPr>
        <w:lastRenderedPageBreak/>
        <w:t>等对项目公司股权股息分配的来源、分配比例、时间、程序、影响因素等作出的约定，项目公司已有股权股息的分配情况等。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条【基础资产权利负担】管理人应在计划说明书等发行文件中明确披露PPP项目合同、项目公司股东协议、融资合同中是否存在社会资本方（项目公司）转让基础资产的限制性约定，或披露是否已满足解除限制的条件、获得相关方转让基础资产的同意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基础资产已经设定的抵押、质押等权利负担，通过专项计划安排能够予以解除的，应披露偿还相关融资、取得相关融资方解除抵押、质押的同意的文件和相关信息。</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基础资产对应的底层相关资产（如管道、设备、厂房、土地使用权等）存在抵押、质押等担保权益或其他权利限制情况的，管理人应核查并在计划说明书中披露相关权利负担或限制是否可能导致底层资产被处置从而影响到原始权益人持续业务经营、现金流稳定和专项计划投资者利益，并设置相关风险缓释措施。</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第十一条【PPP项目合规性】 管理人和律师事务所应核查PPP项目是否存在政府方违规提供担保，或政府方采用固定回报、回购安排、明股实债等方式进行变相债务融资的情形，并在相关发行文件中发表明确意见。法律意见书除按照资产支持证券一般要求进行编制和披露外，项目律师还应就基础资产是否符合PPP项目相关的合格标准、原始权益人的特别要求等发表明确意见。</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第十二条【现金流测算-PPP项目收益权】以PPP项目收益权作为基础资产的，专项计划应以PPP项目合同、政府相关文件为依据，综</w:t>
      </w:r>
      <w:r w:rsidRPr="00376D0B">
        <w:rPr>
          <w:rFonts w:ascii="微软雅黑" w:eastAsia="微软雅黑" w:hAnsi="微软雅黑" w:cs="宋体" w:hint="eastAsia"/>
          <w:color w:val="333333"/>
          <w:kern w:val="0"/>
          <w:sz w:val="27"/>
          <w:szCs w:val="27"/>
        </w:rPr>
        <w:lastRenderedPageBreak/>
        <w:t>合评估PPP项目建设运营经济技术指标、付费模式和标准，参考相关历史数据或同类项目数据，在计划说明书及相关发行文件中披露 PPP项目收益现金流的测算过程及结果。管理人应核查并披露PPP合同是否明确了因运营成本上升、市场需求下降等因素造成现金流回收低于预期的风险分担机制，并设置了补助机制等政府承诺和保障、购买保险等风险缓释措施。</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使用者付费模式下，计划说明书及相关发行文件应披露测算PPP项目收益现金流所考虑的各种因素，包括但不限于：使用者范围和未来数量变化、收费标准及其可能的调整、未能及时足额收取费用的情况、新建竞争性项目或限制社会资本方（项目公司）超额利润的情况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政府付费模式下，计划说明书及相关发行文件应披露测算PPP项目收益现金流所考虑的各种因素，包括但不限于：PPP项目建设运营经济技术标准是否满足政府付费要求、付费标准及其可能的调整、未能及时足额收取费用的情况、绩效监控及其可能扣减付费的情况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可行性缺口补助模式下，计划说明书及相关发行文件应披露测算PPP项目未来现金流所考虑的相关影响使用者付费和政府付费现金流的因素，可行性缺口补助的条件、形式和能形成现金流的补助等。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第十三条【现金流测算-PPP项目资产、项目公司股权】 以PPP项目资产、项目公司股权作为基础资产的，除按上述PPP项目收益权测算现金流外，应由专业机构出具独立的资产评估报告，考虑项目资产的价值变化情况、项目公司股权股息分配的其他来源等。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十四条【现金流归集】管理人应在计划说明书等发行文件中确定并披露各个账户环节、流入流出时间等。基础资产现金流涉及从项目公司归集至原始权益人再转付至专项计划的，应披露专项计划设置的现金流混同风险的防范机制及资产支持证券存续期间设置防范混同风险的持续检查机制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第十五条【影响现金流归集的因素及防范措施】 PPP项目建设运营中存在尚未付清的融资负债、建设工程结算应付款或需要支付运营成本等情况的，管理人应核查和分析上述负债偿还或运营成本支付是否对PPP项目资产现金流归集形成限制、是否可能导致现金流截留风险等作出判断，并在计划说明书中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管理人应在计划说明书中披露上述负债或需要支付运营成本的情况，与社会资本方（项目公司）确定并披露防范现金流截留风险的措施。上述防范措施包括但不限于：不能防范截留风险的不纳入基础资产范围，在入池基础资产的现金流预测中扣减上述负债或运营成本总额；社会资本方（项目公司）承诺以自有资金偿还相关负债或支付运营成本；社会资本方（项目公司）提供有效的增信或防范截留风险的措施，在资产支持证券存续期间安排防范截留风险的持续检查机制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第十六条【交易结构安排】 管理人、社会资本方（项目公司）可以结合PPP项目运营情况、基础资产质量、现金流归集安排等设置并在计划说明书中披露差异化的交易结构和投资者保护措施，包括但不限于优先次级分层、现金流超额覆盖、资产超额抵押、差额支付、外部担</w:t>
      </w:r>
      <w:r w:rsidRPr="00376D0B">
        <w:rPr>
          <w:rFonts w:ascii="微软雅黑" w:eastAsia="微软雅黑" w:hAnsi="微软雅黑" w:cs="宋体" w:hint="eastAsia"/>
          <w:color w:val="333333"/>
          <w:kern w:val="0"/>
          <w:sz w:val="27"/>
          <w:szCs w:val="27"/>
        </w:rPr>
        <w:lastRenderedPageBreak/>
        <w:t>保、股东方流动性支持等信用增级措施，现金流归集路径和频率调整、加速清偿、原始权益人回购等投资者保护机制。</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第十七条【风险缓释】 针对PPP项目实施中可能发生的下列事项，管理人和项目律师事务所应认真分析并根据PPP项目合同或其他相关合同约定的补救、处置方式，设置并在计划说明书中披露相应的交易结构安排，权利完善事件及其他投资者保护机制，保护投资者合法权益。涉及现金流变化的，应在现金流测算和归集中防范相关风险。</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社会资本方（项目公司）在PPP项目建设、运营中发生重大违约及合同约定的补救、处置方式。如项目公司破产或资不抵债、未按项目合同约定完成融资、未在约定时间内完成建设或开始运营、未按照规定或约定的标准和要求提供产品或服务、违反合同约定的股权变更限制、未按合同约定为PPP项目或相关资产购买保险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政府方在PPP项目建设、运营中发生重大违约及合同约定的补救、处置方式。如未按合同约定付费或提供补助，未按约定完成项目审批、提供土地使用权及其他配套设施、防止不必要竞争性项目，自行决定征收征用或改变相关规定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3.政治不可抗力事件及合同约定的补救、处置方式。如非因签约政府方原因导致且不在其控制下的征收征用、法律变更、未获审批等。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4.自然不可抗力事件及合同约定的补救、处置方式。如地震、台风、洪水等自然灾害，武装冲突、骚乱、疫情等社会异常事件。</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5.政府方因PPP项目所提供的公共产品或服务已经不合适或者不再需要，或者会影响公共安全和公共利益而单方面决定接管、变更、终止项目及合同约定的补救、处置方式。</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6.其他影响PPP项目建设、运营以及社会资本方（项目公司）获得投资回报的情形。</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第十八条【运营责任安排】 社会资本方（项目公司）转让PPP项目收益权、项目资产及项目公司股权开展资产证券化，应在计划说明书、资产买卖协议、资产服务协议中明确，社会资本方（项目公司）应继续承担项目的持续维护、运营责任，或对项目持续维护、运营责任作出合理安排并取得政府方认可，不得影响基础设施的稳定运营或公共服务供给的持续性和稳定性。</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第十九条【备查文件】 管理人、社会资本方（项目公司）在提交PPP项目资产证券化申报文件时，除提交资产支持证券要求的申报文件外，还应提交下列文件作为备查文件并予以披露：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1.经评审或审核、审批的PPP项目实施方案。</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2.社会资本方（项目公司）与政府方签订的有效的PPP项目合同；需要政府实施特许经营的，特许经营者与政府方签订的有效的特许经营协议。</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政府付费机制下，主管部门出具的同意政府付费的证明文件及政府付费纳入政府财政预算、政府财政规划的相关文件。使用者付费机制下，主管部门等单位出具的相关收费文件或证明文件。经主管部门审核通过的物有所值评价报告（如有）、财政承受能力论证报告（如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4.项目公司股东协议、公司章程等。</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第三章 存续期间信息披露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条【年度资产管理报告】年度资产管理报告应就PPP项目实施情况、运营情况、是否达到规定或约定的运营标准和要求以及影响运营的其他情况，项目公司绩效情况、付费调整情况、使用者付费模式下项目实际收费情况、政府付费模式下实际付费情况、可行性缺口补助模式下实际收益情况以及影响项目收益的其他情况进行专项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第二十一条【临时信息披露】 资产支持证券存续期间，发生下列影响PPP项目建设运营、项目收益现金流和资产支持证券本息偿付的重大事项，管理人应在相关事项发生后两个交易日内及时进行临时信息披露：</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1.发生本指南第十七条所列的事项，管理人应进行临时信息披露，并持续披露采取的相关补救、处置措施及其影响。</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2.发生PPP项目合同重大变更、补充，项目重大变更等影响项目建设运营的事项。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3.发生收费价格、付费标准重大调整事项。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4.其他影响PPP项目建设运营、项目收益现金流和资产支持证券本息偿付的重大事项。</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第四章 附则</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第二十二条【解释权】本指南为开放性指南，将根据业务发展情况不定期修订并发布更新版本。本所对本指南保留最终解释权。</w:t>
      </w:r>
    </w:p>
    <w:p w:rsidR="00376D0B" w:rsidRPr="00376D0B" w:rsidRDefault="00376D0B" w:rsidP="00376D0B">
      <w:pPr>
        <w:widowControl/>
        <w:ind w:firstLineChars="200" w:firstLine="54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第二十三条【生效时间】本指南自发布之日起施行。</w:t>
      </w:r>
    </w:p>
    <w:p w:rsidR="00376D0B" w:rsidRDefault="00376D0B" w:rsidP="00376D0B">
      <w:pPr>
        <w:pStyle w:val="3"/>
        <w:jc w:val="center"/>
        <w:rPr>
          <w:sz w:val="30"/>
          <w:szCs w:val="30"/>
        </w:rPr>
      </w:pPr>
      <w:bookmarkStart w:id="71" w:name="_Toc12864231"/>
      <w:r w:rsidRPr="00376D0B">
        <w:rPr>
          <w:rFonts w:hint="eastAsia"/>
          <w:sz w:val="30"/>
          <w:szCs w:val="30"/>
        </w:rPr>
        <w:lastRenderedPageBreak/>
        <w:t>关于发布《深圳证券交易所政府和社会资本合作（</w:t>
      </w:r>
      <w:r w:rsidRPr="00376D0B">
        <w:rPr>
          <w:rFonts w:hint="eastAsia"/>
          <w:sz w:val="30"/>
          <w:szCs w:val="30"/>
        </w:rPr>
        <w:t>PPP</w:t>
      </w:r>
      <w:r w:rsidRPr="00376D0B">
        <w:rPr>
          <w:rFonts w:hint="eastAsia"/>
          <w:sz w:val="30"/>
          <w:szCs w:val="30"/>
        </w:rPr>
        <w:t>）项目资产支持证券挂牌条件确认指南》、《深圳证券交易所政府和社会资本合作（</w:t>
      </w:r>
      <w:r w:rsidRPr="00376D0B">
        <w:rPr>
          <w:rFonts w:hint="eastAsia"/>
          <w:sz w:val="30"/>
          <w:szCs w:val="30"/>
        </w:rPr>
        <w:t>PPP</w:t>
      </w:r>
      <w:r w:rsidRPr="00376D0B">
        <w:rPr>
          <w:rFonts w:hint="eastAsia"/>
          <w:sz w:val="30"/>
          <w:szCs w:val="30"/>
        </w:rPr>
        <w:t>）项目资产支持证券信息披露指南》的通知</w:t>
      </w:r>
      <w:bookmarkEnd w:id="71"/>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各市场参与人：</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为贯彻落实《国家发展改革委 中国证监会关于推进传统基础设施领域政府和社会资本合作（PPP）项目资产证券化相关工作的通知》（发改投资〔2016〕2698号）、《财政部 人民银行 证监会关于规范开展政府和社会资本合作项目资产证券化有关事宜的通知》（财金〔2017〕55号）等文件精神，进一步推动政府和社会资本合作（PPP）项目融资方式创新，深圳证券交易所制定了《深圳证券交易所政府和社会资本合作（PPP）项目资产支持证券挂牌条件确认指南》和《深圳证券交易所政府和社会资本合作（PPP）项目资产支持证券信息披露指南》，现予以发布实施。</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特此通知</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附件：1.《深圳证券交易所政府和社会资本合作（PPP）项目资产支持证券挂牌条件确认指南》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2.《深圳证券交易所政府和社会资本合作（PPP）项目资产支持证券信息披露指南》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深圳证券交易所</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2017年10月19日</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深圳证券交易所政府和社会资本合作（PPP）项目资产支持证券挂牌条件确认指南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条【制定依据】为规范发展政府和社会资本合作项目（以下简称“PPP项目”）资产证券化业务，便于管理人和原始权益人等参与机构开展业务和加强风险管理，保护投资者合法权益，促进资产证券化业务健康发展，根据《中共中央 国务院关于深化投融资体制改革的意见》（中发〔2016〕18号）、《证券公司及基金管理公司子公司资产证券化业务管理规定》（证监会公告〔2014〕49号）、《国家发展改革委 中国证监会关于推进传统基础设施领域政府和社会资本合作（PPP）项目资产证券化相关工作的通知》（发改投资〔2016〕2698号）、《财政部 人民银行 证监会关于规范开展政府和社会资本合作项目资产证券化有关事宜的通知》（财金〔2017〕55号）、《深圳证券交易所资产证券化业务指引（2014年修订）》（深证会〔2014〕130号）等相关规定，制定本指南。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第二条【产品定义】 本指南所称PPP项目资产支持证券，是指证券公司、基金管理公司子公司作为管理人，通过设立资产支持专项计划（以下简称“专项计划”）开展资产证券化业务，以PPP项目收益权、</w:t>
      </w:r>
      <w:r w:rsidRPr="00376D0B">
        <w:rPr>
          <w:rFonts w:ascii="微软雅黑" w:eastAsia="微软雅黑" w:hAnsi="微软雅黑" w:cs="宋体" w:hint="eastAsia"/>
          <w:color w:val="333333"/>
          <w:kern w:val="0"/>
          <w:sz w:val="27"/>
          <w:szCs w:val="27"/>
        </w:rPr>
        <w:lastRenderedPageBreak/>
        <w:t>PPP项目资产、PPP项目公司股权等为基础资产或基础资产现金流来源所发行的资产支持证券。</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收益权是在基础设施和公共服务领域开展政府和社会资本合作过程中，社会资本方（项目公司）与政府方签订PPP项目合同等协议，投资建设基础设施、提供相关公共产品或服务，并依据合同和有关规定享有的取得相应收益的权利,包括收费权、收益权、合同债权等。PPP项目收益主要表现形式为使用者付费、政府付费或可行性缺口补助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资产是在基础设施和公共服务领域开展政府和社会资本合作过程中，社会资本方（项目公司）与政府方签订PPP项目合同等协议，并依据合同和有关规定享有所有权或用益物权的项目设施或其他资产，包括项目公司运营所需的动产（机器、设备等）、不动产（土地使用权、厂房、管道等）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公司股权是在基础设施和公共服务领域开展政府和社会资本合作过程中，社会资本方出资组建项目公司开展PPP项目的实施，并依据股东协议和项目公司章程等享有的资产收益、参与重大决策和选择管理者等权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第三条【适用范围】 本指南适用于社会资本方（项目公司）作为原始权益人的PPP项目资产支持证券在深圳证券交易所（以下简称“本</w:t>
      </w:r>
      <w:r w:rsidRPr="00376D0B">
        <w:rPr>
          <w:rFonts w:ascii="微软雅黑" w:eastAsia="微软雅黑" w:hAnsi="微软雅黑" w:cs="宋体" w:hint="eastAsia"/>
          <w:color w:val="333333"/>
          <w:kern w:val="0"/>
          <w:sz w:val="27"/>
          <w:szCs w:val="27"/>
        </w:rPr>
        <w:lastRenderedPageBreak/>
        <w:t>所”）挂牌转让申请。在《国家发展和改革委员会关于开展政府和社会资本合作的指导意见》（发改投资〔2014〕2724号）及《关于推广运用政府和社会资本合作模式有关问题的通知》（财金〔2014〕76号）发布以前已按照PPP模式实施并事先明确约定收益规则的项目开展资产证券化，以及其他PPP项目主要参与方，如提供融资的融资方、承包商等，以与PPP项目相关的基础资产或基础资产现金流来源开展资产证券化，申请在本所挂牌的，参照本指南执行。</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第四条【基础资产合格标准-PPP项目收益权】 社会资本方（项目公司）以PPP项目收益权作为基础资产开展证券化，原始权益人初始入池和后续循环购买入池（如有）的基础资产在基准日、专项计划设立日和循环购买日（如有）除满足基础资产合格标准的一般要求外，还需要符合以下特别要求：</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PPP项目已按规定完成PPP项目实施方案评审以及必要的审批、核准或备案等相关手续，社会资本方（项目公司）与政府方已签订有效的PPP项目合同；在能源、交通运输、水利、环境保护、市政工程等特定领域需要政府实施特许经营的，已按规定完成特许经营项目实施方案审定，特许经营者与政府方已签订有效的特许经营协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2.PPP项目涉及新建或存量项目改建、依据项目合同约定在项目建成并开始运营后才获得相关付费的，社会资本方（项目公司）应完成项</w:t>
      </w:r>
      <w:r w:rsidRPr="00376D0B">
        <w:rPr>
          <w:rFonts w:ascii="微软雅黑" w:eastAsia="微软雅黑" w:hAnsi="微软雅黑" w:cs="宋体" w:hint="eastAsia"/>
          <w:color w:val="333333"/>
          <w:kern w:val="0"/>
          <w:sz w:val="27"/>
          <w:szCs w:val="27"/>
        </w:rPr>
        <w:lastRenderedPageBreak/>
        <w:t>目建设或改建，按相关规定或合同约定经验收或政府方认可，并开始运营，有权按照规定或约定获得收益。</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3.PPP项目合同、融资合同未对社会资本方（项目公司）转让项目收益权作出限制性约定，或社会资本方（项目公司）已满足解除限制性约定的条件。</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PPP项目收益权相关的项目付费或收益情况在PPP合同及相关协议中有明确、清晰的约定。政府付费模式下，政府付费应纳入本级或本级以上政府财政预算、政府财政规划。可行性缺口补助模式下，可行性缺口补助涉及使用财政资金、政府投资资金的，应纳入本级或本级以上政府财政预算、政府财政规划。</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5.PPP项目资产或收益权未设定抵押、质押等权利负担。已经设有抵押、质押等权利负担的，通过专项计划安排能够予以解除，如偿还相关融资、取得相关融资方解除抵押、质押的同意等。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社会资本方（项目公司）与政府方不存在因PPP项目合同的重大违约、不可抗力因素影响项目持续建设运营，或导致付费机制重大调整等情形；也不存在因PPP项目合同或相关合同及其他重大纠纷而影响项目持续建设运营，或可能导致付费机制重大调整的协商、调解、仲裁或诉讼等情形。</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7. PPP项目不得存在政府方违规提供担保，或政府方采用固定回报、回购安排、明股实债等方式进行变相债务融资情形。</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8.PPP项目合同到期日应不早于资产支持证券的最晚到期日。</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9.相关主管部门以及本所确定的其他标准。</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第五条【建设期PPP项目收益权资产证券化的特殊规定】 PPP项目公司依据项目合同约定在项目建设期即开始获得相关付费的，可探索在项目建设期以未来收益作为基础资产，并合理设置资产证券化产品规模。</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第六条【基础资产合格标准-PPP项目资产】社会资本方（项目公司）以PPP项目资产作为基础资产开展证券化，除符合第四条关于PPP项目收益权的合格标准外，还需符合以下要求：</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1.PPP项目合同等约定社会资本方（项目公司）拥有PPP项目资产的所有权或用益物权，且该等资产可依法转让。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2.PPP项目已经建成并开始运营。</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3.PPP项目合同、融资合同等不存在社会资本方（项目公司）转让项目资产的限制性约定，或已满足解除限制性约定的条件。</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4.社会资本方（项目公司）以PPP项目资产开展证券化，应继续履行项目运营责任，或重新确定履行项目运营责任的主体并经政府方等认可，确保不得影响基础设施的稳定运营或公共服务供给的持续性和稳定性。</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第七条【基础资产合格标准-PPP项目公司股权】社会资本方以PPP项目公司股权作为基础资产开展证券化，除符合上述PPP项目收益权的合格标准外，还需符合以下要求：</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１.PPP项目合同、项目公司股东协议或公司章程等对项目公司股东转让、质押项目公司股权及转让的受让方没有限制性约定，或已满足解除限制性约定的条件。</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2.PPP项目已经建成。</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3.PPP项目公司股东协议、公司章程等对项目公司股权股息分配的来源、分配比例、时间、程序、影响因素等，作出了明确约定。</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PPP项目公司股权股息分配来源于PPP项目收益或其他收益的，相关收益权不存在被转让的情形，且没有被设定质押等权利负担。相关收益权已经设有质押等权利负担的，应通过专项计划安排予以解除，如回购收益权、偿还相关融资、取得相关融资方解除质押的同意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5.PPP项目公司控股股东以项目公司股权作为基础资产发行资产支持证券的规模不得超过其持有股权带来的现金流现值的50%；其他股东发行规模不得超过其持有股权带来的现金流现值的70%。</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6.PPP项目公司控股股东以持有的项目公司股权发行资产支持证券，不得改变对项目公司的实际控制权和项目运营责任，不得影响基础设施的稳定运营或公共服务供给的持续性和稳定性。</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第八条【原始权益人的特别要求】社会资本方（项目公司）应具有持续经营能力，内部控制制度健全，最近三年未发生重大违约或虚假信息披露，无不良信用记录。</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第九条【优先鼓励的项目】鼓励社会资本方（项目公司）开展下列PPP项目资产证券化：</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1.行业龙头企业作为社会资本方参与建设运营；</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2.雄安新区和京津冀协同发展、“一带一路”建设、长江经济带建设以及新一轮东北地区等老工业基地振兴等符合国家战略的项目；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3.水务、环境保护、交通运输等市场化程度较高、公共服务需求稳定、现金流可预测性较强的行业项目；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4.项目所在地政府偿付能力较好、信用水平较高、严格履行PPP项目财政管理要求；</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5.其他具有稳定投资收益和良好社会效益的示范项目。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社会资本方（项目公司）可以以其建设运营的多个PPP项目中具有同质性的基础资产组成基础资产池开展证券化；可以将综合性PPP项目中权属清晰、现金流独立的部分子项目资产单独开展证券化。</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本所对PPP项目主管部门推荐的项目和中国政企合作支持基金投资的项目的资产证券化实行“即报即审、专人专岗负责”，提高受理、审核、挂牌的工作效率。</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第十条【名词解释】本指南下列用语的含义：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1.政府和社会资本合作（Public-Private Partnerships，简称PPP），是指政府采取竞争性方式择优选择具有投资、运营管理能力的社会资本方，双方按照平等协商原则订立合同，明确责权利关系，由社会资本方提供公共产品或服务，政府向社会资本方支付相应对价，社会资本方获得合理收益的合作模式。PPP采取建设-运营-移交（BOT）、建设-拥有-运营（BOO）、建设－拥有－运营－移交（BOOT）、转让-运营-移交（TOT）、改建-运营-移交（ROT）、委托运营（O＆M）等运营方式。</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2.政府方，是指组织实施PPP项目并代表政府签署PPP项目合同的政府及其所属部门或事业单位。</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社会资本方，是指依法设立且有效存续的具有法人资格的企业，包括国有企业、民营企业、外国企业、外商投资企业、混合所有制企业，原则上不包括本级政府所属融资平台公司。社会资本方是PPP项目的实际投资人，实践中，社会资本方通常不会直接作为PPP项目的实施主体，而会专门针对该项目成立项目公司，作为PPP项目合同及项目其他相关合同的签约主体，负责项目具体实施。</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公司，是指依法设立的自主运营、自负盈亏的具有独立法人资格的经营实体。项目公司可以由社会资本方（可以是一家企业，也可以是多家企业组成的联合体）出资设立，也可以由政府和社会资本方共同出资设立。</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PPP项目合同，是指政府方与社会资本方（项目公司）依法就PPP项目合作所订立的合同，是政府方与社会资本方之间合理分配项目风险，明确双方权利义务关系以及PPP项目的交易结构，以保障双方能够依据合同约定合理主张权利，妥善履行义务，确保项目全生命周期内的顺利实施。PPP项目合同是PPP整个合同体系的基础和核心。</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6.使用者付费（User Charges），是指由最终消费用户直接付费购买公共产品和服务。社会资本方（项目公司）直接从最终用户处收取费用，以回收项目的建设和运营成本并获得合理收益。</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7.政府付费（Government Payment），是指政府方直接付费购买公共产品和服务，政府方可以依据项目设施的可用性、产品或服务的使用量以及质量向项目公司付费。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8.可行性缺口补助（Viability Gap Funding），是指使用者付费不足以满足社会资本方（项目公司）成本回收和合理回报时，由政府方给予一定的经济补助，以弥补使用者付费之外的缺口部分。可行性缺口补助的形式可能包括土地划拨、投资入股、投资补助、价格补贴、优惠贷款、贷款贴息、放弃分红权、授予项目相关开发收益权等其中的一种或多种。</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9.可用性付费（Availability Payment），是指政府方依据社会资本方（项目公司）所提供的项目设施或服务是否符合合同约定的标准和要求来付费。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10.使用量付费（Usage Payment），是指政府方主要依据社会资本方（项目公司）所提供的项目设施或服务的实际使用量来付费。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11.绩效付费（Performance Payment），是指政府方依据社会资本方（项目公司）所提供的公共产品或服务的质量付费。通常政府方与项目公司会明确约定项目的绩效标准，并将政府付费与项目公司的绩效表现挂钩。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第十一条【解释权】本所将根据业务发展情况不定期修订本指南并发布更新版本。本所对本指南保留最终解释权。</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第十二条【生效时间】本指南自发布之日起施行。</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深圳证券交易所政府和社会资本合作（PPP）项目资产支持证券信息披露指南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第一章 总则</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一条【制定依据】为规范发展政府和社会资本合作项目（以下简“PPP项目”）资产证券化业务，便于管理人和原始权益人等参与机构开展业务和加强风险管理，保护投资者合法权益，促进资产证券化业务健康发展，根据《中共中央 国务院关于深化投融资体制改革的意见》（中发〔2016〕18号）、《证券公司及基金管理公司子公司资产证券化业务管理规定》（证监会公告〔2014〕49号，以下简称“《管理规定》”）、《国家发展改革委 中国证监会关于推进传统基础设施领域政府和社会资本合作（PPP）项目资产证券化相关工作的通知》（发改</w:t>
      </w:r>
      <w:r w:rsidRPr="00376D0B">
        <w:rPr>
          <w:rFonts w:ascii="微软雅黑" w:eastAsia="微软雅黑" w:hAnsi="微软雅黑" w:cs="宋体" w:hint="eastAsia"/>
          <w:color w:val="333333"/>
          <w:kern w:val="0"/>
          <w:sz w:val="27"/>
          <w:szCs w:val="27"/>
        </w:rPr>
        <w:lastRenderedPageBreak/>
        <w:t>投资〔2016〕2698号）、《财政部 人民银行 证监会关于规范开展政府和社会资本合作项目资产证券化有关事宜的通知》（财金〔2017〕55号）、《深圳证券交易所资产证券化业务指引（2014年修订）》（深证会〔2014〕130号）等相关规定，制定本指南。</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第二条【产品定义】 本指南所称PPP项目资产支持证券，是指证券公司、基金管理公司子公司作为管理人，通过设立资产支持专项计划（以下简称“专项计划”）开展资产证券化业务，以PPP项目收益权、PPP项目资产、PPP项目公司股权等为基础资产或基础资产现金流来源所发行的资产支持证券。</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收益权是在基础设施和公共服务领域开展政府和社会资本合作过程中，社会资本方（项目公司）与政府方签订PPP项目合同等协议，投资建设基础设施、提供相关公共产品或服务，并依据合同和有关规定享有的取得相应收益的权利,包括收费权、收益权、合同债权等。PPP项目收益主要表现形式为使用者付费、政府付费或可行性缺口补助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PPP项目资产是在基础设施和公共服务领域开展政府和社会资本合作过程中，社会资本方（项目公司）与政府方签订PPP项目合同等协议，并依据合同和有关规定享有所有权或用益物权的项目设施或其他资产，包括项目公司运营所需的动产（机器、设备等）、不动产（土地使用权、厂房、管道等）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PPP项目公司股权是在基础设施和公共服务领域开展政府和社会资本合作过程中，社会资本方出资组建项目公司开展PPP项目的实施，并依据股东协议和项目公司章程等享有的资产收益、参与重大决策和选择管理者等权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第三条【适用范围】 本指南适用于社会资本方（项目公司）作为原始权益人的PPP项目资产支持证券在深圳证券交易所（以下简称“本所”）挂牌转让的信息披露专项要求。在《国家发展和改革委员会关于开展政府和社会资本合作的指导意见》（发改投资〔2014〕2724号）及《关于推广运用政府和社会资本合作模式有关问题的通知》（财金〔2014〕76号）发布以前已按照PPP模式实施并事先明确约定收益规则的项目开展资产证券化，以及其他PPP项目主要参与方，如提供融资的融资方、承包商等，以与PPP项目相关的基础资产或基础资产现金流来源开展资产证券化，在本所挂牌转让的，参照本指南执行。</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第四条【信息披露责任】 管理人及其他信息披露义务人应当按照《管理规定》《证券公司及基金管理公司子公司资产证券化业务信息披露指引》《深圳证券交易所资产证券化业务指引（2014年修订）》、本指南的规定以及计划说明书的约定履行信息披露义务，及时、公平地披露可能对资产支持证券产生重大影响的信息，并保证所披露的信息真实、准确、完整，不得有虚假记载、误导性陈述或者重大遗漏。</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本指南所称其他信息披露义务人包括但不限于托管人、律师事务所、资信评级机构、资产服务机构、现金流预测分析机构、不动产评估机构等。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第五条【信息披露渠道】 资产支持证券在本所挂牌转让的，管理人及其他信息披露义务人应当于规定时间内通过指定网站或以本所认可的其他方式向合格投资者披露信息。</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第六条【信息保密义务】 管理人、其他服务机构及登记托管机构等相关知情人在信息披露前不得泄露拟披露的信息。</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第二章 发行环节信息披露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第七条【PPP项目情况-PPP项目收益权】 专项计划以PPP项目收益权作为基础资产的，计划说明书除按照资产支持证券一般要求进行编制和披露外，还应披露包括但不限于下述关于PPP项目建设、运营等相关信息：</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项目识别、准备和采购情况，包括PPP项目实施方案评审，项目立项审批、核准或备案情况，财政承受能力论证报告及物有所值评价报告相关信息（如有），PPP项目采购情况，PPP项目合同签订情况、入库情况等。在能源、交通运输、水利、环境保护、市政工程等特定领域</w:t>
      </w:r>
      <w:r w:rsidRPr="00376D0B">
        <w:rPr>
          <w:rFonts w:ascii="微软雅黑" w:eastAsia="微软雅黑" w:hAnsi="微软雅黑" w:cs="宋体" w:hint="eastAsia"/>
          <w:color w:val="333333"/>
          <w:kern w:val="0"/>
          <w:sz w:val="27"/>
          <w:szCs w:val="27"/>
        </w:rPr>
        <w:lastRenderedPageBreak/>
        <w:t>需要政府实施特许经营的，应披露是否已按规定完成特许经营项目实施方案审定，特许经营者与政府方已签订有效的特许经营协议。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社会资本（项目公司）设立、运营情况，设立项目公司的，包括设立登记、股东认缴及实缴资本金、股权结构、增减资、项目公司内部控制情况、财务情况、提供履约担保情况等。PPP项目公司股东以项目公司股权开展资产证券化的，还包括项目股东情况、项目公司股权股息的分配情况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3.项目前期融资情况，包括融资机构名称、融资金额、融资结构及融资交割情况等。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建设情况，包括项目建设进度、质量以及是否符合相关政策法规和PPP项目合同约定的标准和要求；PPP项目涉及新建或存量项目改建后再运营并获得相关付费的，是否完成项目建设或改建，按相关规定或合同约定经验收或政府方认可，并开始运营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5.项目运营情况，包括已运营时间、项目维护、运营情况以及是否符合相关政策法规和PPP项目合同约定的标准和要求。</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6.项目付费或收益情况，包括不同的付费模式下PPP项目合同、政府相关文件中约定的项目付费及收益情况：</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1）使用者付费模式下，包括但不限于使用者范围、付费条件、付费标准、付费期间、影响付费的因素等。如涉及付费调整的，应当披露调整的条件、方法及程序；涉及新建竞争性项目或限制社会资本方（项目公司）超额利润的，应当披露相关约定。</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政府付费模式下，采取可用性付费的，应披露对可用性标准、付费标准、付费时间、不可用情形及扣减机制的约定；采取使用量付费的，应披露对公共服务使用量计算标准、付费标准、付费时间、扣减机制的约定；采用绩效付费的，应披露对绩效标准、绩效考核机制、付费标准、付费时间、扣减机制的约定。如涉及付费调整的，应披露调整的条件、方法及程序。应披露政府付费纳入本级政府财政预算、中期财政规划的相关情况。</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可行性缺口补助模式下，除了披露对使用者付费机制作出的约定外，还应当披露政府给予的可行性缺口补助形式、数额、时间等约定。可行性缺口补助涉及使用财政资金、政府投资资金的，应披露纳入本级政府财政预算、中期财政规划及政府投资计划的相关情况。</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第八条【PPP项目情况-PPP项目资产】专项计划以PPP项目资产作为基础资产的，除按照PPP项目收益权的相关要求披露PPP项目建设、运营信息，还应当披露根据PPP项目合同等约定PPP项目资产权属情况。</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九条【PPP项目情况-PPP项目公司股权】专项计划以PPP项目公司股权作为基础资产的，除按照PPP项目收益权的相关要求披露PPP项目建设、运营信息，还应当披露PPP项目公司股东协议、公司章程等对项目公司股权股息分配的来源、分配比例、时间、程序、影响因素等作出的约定，项目公司已有股权股息的分配情况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条【基础资产权利负担】管理人应在计划说明书等发行文件中明确披露PPP项目合同、项目公司股东协议、融资合同中是否存在社会资本方（项目公司）转让基础资产的限制性约定，或披露是否已满足解除限制的条件、获得相关方转让基础资产的同意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基础资产已经设定的抵押、质押等权利负担，通过专项计划安排能够予以解除的，应披露偿还相关融资、取得相关融资方解除抵押、质押的同意的文件和相关信息。</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基础资产对应的底层相关资产（如管道、设备、厂房、土地使用权等）存在抵押、质押等担保权益或其他权利限制情况的，管理人应核查并在计划说明书中披露相关权利负担或限制是否可能导致底层资产被处置从而影响到原始权益人持续业务经营、现金流稳定和专项计划投资者利益，并设置相关风险缓释措施。</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第十一条【PPP项目合规性】 管理人和律师事务所应核查PPP项目是否存在政府方违规提供担保，或政府方采用固定回报、回购安排、</w:t>
      </w:r>
      <w:r w:rsidRPr="00376D0B">
        <w:rPr>
          <w:rFonts w:ascii="微软雅黑" w:eastAsia="微软雅黑" w:hAnsi="微软雅黑" w:cs="宋体" w:hint="eastAsia"/>
          <w:color w:val="333333"/>
          <w:kern w:val="0"/>
          <w:sz w:val="27"/>
          <w:szCs w:val="27"/>
        </w:rPr>
        <w:lastRenderedPageBreak/>
        <w:t>明股实债等方式进行变相债务融资的情形，并在相关发行文件中发表明确意见。法律意见书除按照资产支持证券一般要求进行编制和披露外，项目律师还应就基础资产是否符合PPP项目相关的合格标准、原始权益人的特别要求等发表明确意见。</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第十二条【现金流测算-PPP项目收益权】 以PPP项目收益权作为基础资产的，专项计划应以PPP项目合同、政府相关文件为依据，综合评估PPP项目建设运营经济技术指标、付费模式和标准，参考相关历史数据或同类项目数据，在计划说明书及相关发行文件中披露 PPP项目收益现金流的测算过程及结果。管理人应核查并披露PPP合同是否明确了因运营成本上升、市场需求下降等因素造成现金流回收低于预期的风险分担机制，并设置了补助机制等政府承诺和保障、购买保险等风险缓释措施。</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使用者付费模式下，计划说明书及相关发行文件应披露测算PPP项目收益现金流所考虑的各种因素，包括但不限于：使用者范围和未来数量变化、收费标准及其可能的调整、未能及时足额收取费用的情况、新建竞争性项目或限制社会资本方（项目公司）超额利润的情况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政府付费模式下，计划说明书及相关发行文件应披露测算PPP项目收益现金流所考虑的各种因素，包括但不限于：PPP项目建设运营经济技术标准是否满足政府付费要求、付费标准及其可能的调整、未能及时足额收取费用的情况、绩效监控及其可能扣减付费的情况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可行性缺口补助模式下，计划说明书及相关发行文件应披露测算PPP项目未来现金流所考虑的相关影响使用者付费和政府付费现金流的因素，可行性缺口补助的条件、形式和能形成现金流的补助等。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第十三条【现金流测算-PPP项目资产、项目公司股权】 以PPP项目资产、项目公司股权作为基础资产的，除按上述PPP项目收益权测算现金流外，应由专业机构出具独立的资产评估报告，考虑项目资产的价值变化情况、项目公司股权股息分配的其他来源等。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四条【现金流归集】管理人应在计划说明书等发行文件中确定并披露各个账户环节、流入流出时间等。基础资产现金流涉及从项目公司归集至原始权益人再转付至专项计划的，应披露专项计划设置的现金流混同风险的防范机制及资产支持证券存续期间设置防范混同风险的持续检查机制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第十五条【影响现金流归集的因素及防范措施】 PPP项目建设运营中存在尚未付清的融资负债、建设工程结算应付款或需要支付运营成本等情况的，管理人应核查和分析上述负债偿还或运营成本支付是否对PPP项目资产现金流归集形成限制、是否可能导致现金流截留风险等作出判断，并在计划说明书中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管理人应在计划说明书中披露上述负债或需要支付运营成本的情况，与社会资本方（项目公司）确定并披露防范现金流截留风险的措施。</w:t>
      </w:r>
      <w:r w:rsidRPr="00376D0B">
        <w:rPr>
          <w:rFonts w:ascii="微软雅黑" w:eastAsia="微软雅黑" w:hAnsi="微软雅黑" w:cs="宋体" w:hint="eastAsia"/>
          <w:color w:val="333333"/>
          <w:kern w:val="0"/>
          <w:sz w:val="27"/>
          <w:szCs w:val="27"/>
        </w:rPr>
        <w:lastRenderedPageBreak/>
        <w:t>上述防范措施包括但不限于：不能防范截留风险的不纳入基础资产范围，在入池基础资产的现金流预测中扣减上述负债或运营成本总额；社会资本方（项目公司）承诺以自有资金偿还相关负债或支付运营成本；社会资本方（项目公司）提供有效的增信或防范截留风险的措施，在资产支持证券存续期间安排防范截留风险的持续检查机制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第十六条【交易结构安排】 管理人、社会资本方（项目公司）可以结合PPP项目运营情况、基础资产质量、现金流归集安排等设置并在计划说明书中披露差异化的交易结构和投资者保护措施，包括但不限于优先次级分层、现金流超额覆盖、资产超额抵押、差额支付、外部担保、股东方流动性支持等信用增级措施，现金流归集路径和频率调整、加速清偿、原始权益人回购等投资者保护机制。</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第十七条【风险缓释】 针对PPP项目实施中可能发生的下列事项，管理人和项目律师事务所应当分析并根据PPP项目合同或其他相关合同约定的补救、处置方式，设置并在计划说明书中披露相应的交易结构安排，权利完善事件及其他投资者保护机制，保护投资者合法权益。涉及现金流变化的，应在现金流测算和归集中防范相关风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1.社会资本方（项目公司）在PPP项目建设、运营中发生重大违约及合同约定的补救、处置方式。如项目公司破产或资不抵债、未按项目合同约定完成融资、未在约定时间内完成建设或开始运营、未按照规定</w:t>
      </w:r>
      <w:r w:rsidRPr="00376D0B">
        <w:rPr>
          <w:rFonts w:ascii="微软雅黑" w:eastAsia="微软雅黑" w:hAnsi="微软雅黑" w:cs="宋体" w:hint="eastAsia"/>
          <w:color w:val="333333"/>
          <w:kern w:val="0"/>
          <w:sz w:val="27"/>
          <w:szCs w:val="27"/>
        </w:rPr>
        <w:lastRenderedPageBreak/>
        <w:t>或约定的标准和要求提供产品或服务、违反合同约定的股权变更限制、未按合同约定为PPP项目或相关资产购买保险等。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政府方在PPP项目建设、运营中发生重大违约及合同约定的补救、处置方式。如未按合同约定付费或提供补助、未按约定完成项目审批、提供土地使用权、其他配套设施、防止不必要竞争性项目、自行决定征收征用或改变相关规定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3.政治不可抗力事件及合同约定的补救、处置方式。如非因签约政府方原因导致且不在其控制下的征收征用、法律变更、未获审批等。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4.自然不可抗力。事件及合同约定的补救、处置方式。如地震、台风、洪水等自然灾害，武装冲突、骚乱、疫情等社会异常事件。</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5.政府方因PPP项目所提供的公共产品或服务已经不合适或者不再需要，或者会影响公共安全和公共利益而单方面决定接管、变更、终止项目及合同约定的补救、处置方式。</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6.其他影响PPP项目建设、运营以及社会资本方（项目公司）获得投资回报的情形。</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第十八条【运营责任安排】 社会资本方（项目公司）转让PPP项目收益权、项目资产及项目公司股权开展资产证券化，应在计划说明书、资产买卖协议、资产服务协议中明确，社会资本方（项目公司）应继续</w:t>
      </w:r>
      <w:r w:rsidRPr="00376D0B">
        <w:rPr>
          <w:rFonts w:ascii="微软雅黑" w:eastAsia="微软雅黑" w:hAnsi="微软雅黑" w:cs="宋体" w:hint="eastAsia"/>
          <w:color w:val="333333"/>
          <w:kern w:val="0"/>
          <w:sz w:val="27"/>
          <w:szCs w:val="27"/>
        </w:rPr>
        <w:lastRenderedPageBreak/>
        <w:t>承担项目的持续维护、运营责任，或对项目持续维护、运营责任作出合理安排并取得政府方认可，不得影响基础设施的稳定运营或公共服务供给的持续性和稳定性。</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第十九条【备查文件】 管理人、社会资本方（项目公司）在提交PPP项目资产证券化申报文件时，除提交资产支持证券要求的申报文件外，还应提交下列文件作为备查文件并予以披露：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1.经评审或审核、审批的PPP项目实施方案。</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2.社会资本方（项目公司）与政府方签订的有效的PPP项目合同；需要政府实施特许经营的，特许经营者与政府方签订的有效的特许经营协议。</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政府付费机制下，主管部门出具的同意政府付费的证明文件及政府付费纳入政府财政预算、政府财政规划的相关文件。使用者付费机制下，主管部门等单位出具的相关收费文件或证明文件。经主管部门审核通过的物有所值评价报告（如有）、财政承受能力论证报告（如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4.项目公司股东协议、公司章程等。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第三章  存续期间信息披露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二十条【年度资产管理报告】年度资产管理报告应就PPP项目实施情况、运营情况、是否达到规定或约定的运营标准和要求以及影响运营的其他情况，项目公司绩效情况、付费调整情况、使用者付费模式下项目实际收费情况、政府付费模式下实际付费情况、可行性缺口补助模式下实际收益情况以及影响项目收益的其他情况进行专项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第二十一条【临时信息披露】 资产支持证券存续期间，发生下列影响PPP项目建设运营、项目收益现金流和资产支持证券本息偿付的重大事项，管理人应在相关事项发生后两个交易日内及时进行临时信息披露：</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（1）发生本指南第十七条所列的事项，管理人应进行临时信息披露，并持续披露采取的相关补救、处置措施及其影响。</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（2）发生PPP项目合同重大变更、补充，项目重大变更等影响项目建设运营的事项。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（3）发生收费价格、付费标准重大调整事项。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（4）其他影响PPP项目建设运营、项目收益现金流和资产支持证券本息偿付的重大事项。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第四章  附则</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第二十二条【名词解释】本指南下列用语的含义：</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1.政府和社会资本合作（Public-Private Partnerships，简称PPP），是指政府采取竞争性方式择优选择具有投资、运营管理能力的社会资本方，双方按照平等协商原则订立合同，明确责权利关系，由社会资本方提供公共产品或服务，政府向社会资本方支付相应对价，社会资本方获得合理收益的合作模式。PPP采取建设-运营-移交（BOT）、建设-拥有-运营（BOO）、建设－拥有－运营－移交（BOOT）、转让-运营-移交（TOT）、改建-运营-移交（ROT）、委托运营（O＆M）等运营方式。</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2.政府方，是指组织实施PPP项目并代表政府签署PPP项目合同的政府及其所属部门或事业单位。</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3.社会资本方，是指依法设立且有效存续的具有法人资格的企业，包括国有企业、民营企业、外国企业、外商投资企业、混合所有制企业，原则上不包括本级政府所属融资平台公司。社会资本方是PPP项目的实际投资人，实践中，社会资本方通常不会直接作为PPP项目的实施主体，而会专门针对该项目成立项目公司，作为PPP项目合同及项目其他相关合同的签约主体，负责项目具体实施。</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4.项目公司，是指依法设立的自主运营、自负盈亏的具有独立法人资格的经营实体。项目公司可以由社会资本方（可以是一家企业，也可</w:t>
      </w:r>
      <w:r w:rsidRPr="00376D0B">
        <w:rPr>
          <w:rFonts w:ascii="微软雅黑" w:eastAsia="微软雅黑" w:hAnsi="微软雅黑" w:cs="宋体" w:hint="eastAsia"/>
          <w:color w:val="333333"/>
          <w:kern w:val="0"/>
          <w:sz w:val="27"/>
          <w:szCs w:val="27"/>
        </w:rPr>
        <w:lastRenderedPageBreak/>
        <w:t>以是多家企业组成的联合体）出资设立，也可以由政府和社会资本方共同出资设立。</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5.PPP项目合同，是指政府方与社会资本方（项目公司）依法就PPP项目合作所订立的合同，是政府方与社会资本方之间合理分配项目风险，明确双方权利义务关系以及PPP项目的交易结构，以保障双方能够依据合同约定合理主张权利，妥善履行义务，确保项目全生命周期内的顺利实施。PPP项目合同是PPP整个合同体系的基础和核心。</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6.使用者付费（User Charges），是指由最终消费用户直接付费购买公共产品和服务。社会资本方（项目公司）直接从最终用户处收取费用，以回收项目的建设和运营成本并获得合理收益。</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7.政府付费（Government Payment），是指政府方直接付费购买公共产品和服务，政府方可以依据项目设施的可用性、产品或服务的使用量以及质量向项目公司付费。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8.可行性缺口补助（Viability Gap Funding），是指使用者付费不足以满足社会资本方（项目公司）成本回收和合理回报时，由政府方给予一定的经济补助，以弥补使用者付费之外的缺口部分。可行性缺口补助的形式可能包括土地划拨、投资入股、投资补助、价格补贴、优惠贷款、贷款贴息、放弃分红权、授予项目相关开发收益权等其中的一种或多种。</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lastRenderedPageBreak/>
        <w:t>9.可用性付费（Availability Payment），是指政府方依据社会资本方（项目公司）所提供的项目设施或服务是否符合合同约定的标准和要求来付费。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10.使用量付费（Usage Payment），是指政府方主要依据社会资本方（项目公司）所提供的项目设施或服务的实际使用量来付费。</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11.绩效付费（Performance Payment），是指政府方依据社会资本方（项目公司）所提供的公共产品或服务的质量付费。通常政府方与项目公司会明确约定项目的绩效标准，并将政府付费与项目公司的绩效表现挂钩。</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第二十三条【解释权】本所将根据业务发展情况不定期修订本指南并发布更新版本。本所对本指南保留最终解释权。</w:t>
      </w:r>
    </w:p>
    <w:p w:rsidR="00376D0B" w:rsidRPr="00376D0B" w:rsidRDefault="00376D0B" w:rsidP="00376D0B">
      <w:pPr>
        <w:widowControl/>
        <w:spacing w:before="450" w:line="540" w:lineRule="atLeast"/>
        <w:ind w:firstLine="480"/>
        <w:jc w:val="left"/>
        <w:rPr>
          <w:rFonts w:ascii="微软雅黑" w:eastAsia="微软雅黑" w:hAnsi="微软雅黑" w:cs="宋体"/>
          <w:color w:val="333333"/>
          <w:kern w:val="0"/>
          <w:sz w:val="27"/>
          <w:szCs w:val="27"/>
        </w:rPr>
      </w:pPr>
      <w:r w:rsidRPr="00376D0B">
        <w:rPr>
          <w:rFonts w:ascii="微软雅黑" w:eastAsia="微软雅黑" w:hAnsi="微软雅黑" w:cs="宋体" w:hint="eastAsia"/>
          <w:color w:val="333333"/>
          <w:kern w:val="0"/>
          <w:sz w:val="27"/>
          <w:szCs w:val="27"/>
        </w:rPr>
        <w:t>第二十四条【生效时间】本指南自发布之日起施行。</w:t>
      </w:r>
    </w:p>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Pr>
        <w:pStyle w:val="3"/>
        <w:jc w:val="center"/>
        <w:rPr>
          <w:sz w:val="30"/>
          <w:szCs w:val="30"/>
        </w:rPr>
      </w:pPr>
      <w:bookmarkStart w:id="72" w:name="_Toc12864232"/>
      <w:r w:rsidRPr="00376D0B">
        <w:rPr>
          <w:rFonts w:hint="eastAsia"/>
          <w:sz w:val="30"/>
          <w:szCs w:val="30"/>
        </w:rPr>
        <w:lastRenderedPageBreak/>
        <w:t>关于进一步推进政府和社会资本合作（</w:t>
      </w:r>
      <w:r w:rsidRPr="00376D0B">
        <w:rPr>
          <w:rFonts w:hint="eastAsia"/>
          <w:sz w:val="30"/>
          <w:szCs w:val="30"/>
        </w:rPr>
        <w:t>PPP</w:t>
      </w:r>
      <w:r w:rsidRPr="00376D0B">
        <w:rPr>
          <w:rFonts w:hint="eastAsia"/>
          <w:sz w:val="30"/>
          <w:szCs w:val="30"/>
        </w:rPr>
        <w:t>）项目资产证券化业务的通知（上证函〔</w:t>
      </w:r>
      <w:r w:rsidRPr="00376D0B">
        <w:rPr>
          <w:rFonts w:hint="eastAsia"/>
          <w:sz w:val="30"/>
          <w:szCs w:val="30"/>
        </w:rPr>
        <w:t>2017</w:t>
      </w:r>
      <w:r w:rsidRPr="00376D0B">
        <w:rPr>
          <w:rFonts w:hint="eastAsia"/>
          <w:sz w:val="30"/>
          <w:szCs w:val="30"/>
        </w:rPr>
        <w:t>〕</w:t>
      </w:r>
      <w:r w:rsidRPr="00376D0B">
        <w:rPr>
          <w:rFonts w:hint="eastAsia"/>
          <w:sz w:val="30"/>
          <w:szCs w:val="30"/>
        </w:rPr>
        <w:t>783</w:t>
      </w:r>
      <w:r w:rsidRPr="00376D0B">
        <w:rPr>
          <w:rFonts w:hint="eastAsia"/>
          <w:sz w:val="30"/>
          <w:szCs w:val="30"/>
        </w:rPr>
        <w:t>号）</w:t>
      </w:r>
      <w:bookmarkEnd w:id="72"/>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各市场参与人：</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为贯彻落实《财政部人民银行证监会关于规范开展政府和社会资本合作项目资产证券化有关事宜的通知》（财金〔2017〕55号）等文件精神，进一步推进PPP项目资产证券化业务，提升服务实体经济能力，上海证券交易所（以下简称本所）根据《证券公司及基金管理公司子公司资产证券化业务管理规定》《上海证券交易所资产证券化业务指引》《上海证券交易所资产支持证券挂牌条件确认业务指引》等相关规定，就有关事项通知如下：</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一、本所鼓励支持PPP项目公司、项目公司股东、项目公司其他相关主体及相关中介机构依法积极开展PPP项目资产证券化业务。各相关方应勤勉尽责，严格遵守执业规范和监管要求，确保业务稳健运营，保障投资者利益，维护市场稳定。</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二、对于各省级财政部门推荐的项目、中国政企合作支持基金投资的项目及其他符合条件的优质PPP项目，提升受理、评审和挂牌转让工作效率，实行“即报即审、专人专岗负责”。对于申报项目，受理后5个交易日内出具反馈意见，管理人提交反馈回复确认后3个交易日内召开工作小组会议，明确是否符合挂牌要求。项目挂牌阶段专人专岗负责，提升挂牌手续办理效率。</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三、本所PPP项目资产证券化工作小组联系人</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lastRenderedPageBreak/>
        <w:t xml:space="preserve">　　项目审查：贺锐骁，电话：021-50186162；徐承志，电话：021-50185671；胡双力，电话：021-50185107；</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市场推广：汤毅，电话：021-50186311；刘韶珺，电话：021-50496510；</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资产证券化业务专用邮箱：</w:t>
      </w:r>
      <w:hyperlink r:id="rId78" w:tooltip="sseabs@sse.com.cn" w:history="1">
        <w:r w:rsidRPr="00376D0B">
          <w:rPr>
            <w:rFonts w:hint="eastAsia"/>
            <w:color w:val="333333"/>
            <w:sz w:val="27"/>
            <w:szCs w:val="27"/>
          </w:rPr>
          <w:t>sseabs@sse.com.cn</w:t>
        </w:r>
      </w:hyperlink>
      <w:r w:rsidRPr="00376D0B">
        <w:rPr>
          <w:rFonts w:ascii="微软雅黑" w:eastAsia="微软雅黑" w:hAnsi="微软雅黑" w:hint="eastAsia"/>
          <w:color w:val="333333"/>
          <w:sz w:val="27"/>
          <w:szCs w:val="27"/>
        </w:rPr>
        <w:t>。</w:t>
      </w:r>
      <w:r w:rsidRPr="00376D0B">
        <w:rPr>
          <w:rFonts w:ascii="微软雅黑" w:eastAsia="微软雅黑" w:hAnsi="微软雅黑" w:hint="eastAsia"/>
          <w:color w:val="333333"/>
          <w:sz w:val="27"/>
          <w:szCs w:val="27"/>
        </w:rPr>
        <w:br/>
        <w:t> </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上海证券交易所</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二○一七年七月二十一日</w:t>
      </w:r>
    </w:p>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Pr>
        <w:pStyle w:val="3"/>
        <w:jc w:val="center"/>
        <w:rPr>
          <w:sz w:val="30"/>
          <w:szCs w:val="30"/>
        </w:rPr>
      </w:pPr>
      <w:bookmarkStart w:id="73" w:name="_Toc12864233"/>
      <w:r w:rsidRPr="00376D0B">
        <w:rPr>
          <w:rFonts w:hint="eastAsia"/>
          <w:sz w:val="30"/>
          <w:szCs w:val="30"/>
        </w:rPr>
        <w:lastRenderedPageBreak/>
        <w:t>上海证券交易所关于推进传统基础设施领域政府和社会资本合作（</w:t>
      </w:r>
      <w:r w:rsidRPr="00376D0B">
        <w:rPr>
          <w:rFonts w:hint="eastAsia"/>
          <w:sz w:val="30"/>
          <w:szCs w:val="30"/>
        </w:rPr>
        <w:t>PPP</w:t>
      </w:r>
      <w:r w:rsidRPr="00376D0B">
        <w:rPr>
          <w:rFonts w:hint="eastAsia"/>
          <w:sz w:val="30"/>
          <w:szCs w:val="30"/>
        </w:rPr>
        <w:t>）项目资产证券化业务的通知（</w:t>
      </w:r>
      <w:r w:rsidRPr="00376D0B">
        <w:rPr>
          <w:rFonts w:hint="eastAsia"/>
          <w:sz w:val="30"/>
          <w:szCs w:val="30"/>
        </w:rPr>
        <w:t>2017</w:t>
      </w:r>
      <w:r w:rsidRPr="00376D0B">
        <w:rPr>
          <w:rFonts w:hint="eastAsia"/>
          <w:sz w:val="30"/>
          <w:szCs w:val="30"/>
        </w:rPr>
        <w:t>年</w:t>
      </w:r>
      <w:r w:rsidRPr="00376D0B">
        <w:rPr>
          <w:rFonts w:hint="eastAsia"/>
          <w:sz w:val="30"/>
          <w:szCs w:val="30"/>
        </w:rPr>
        <w:t>2</w:t>
      </w:r>
      <w:r w:rsidRPr="00376D0B">
        <w:rPr>
          <w:rFonts w:hint="eastAsia"/>
          <w:sz w:val="30"/>
          <w:szCs w:val="30"/>
        </w:rPr>
        <w:t>月</w:t>
      </w:r>
      <w:r w:rsidRPr="00376D0B">
        <w:rPr>
          <w:rFonts w:hint="eastAsia"/>
          <w:sz w:val="30"/>
          <w:szCs w:val="30"/>
        </w:rPr>
        <w:t>17</w:t>
      </w:r>
      <w:r w:rsidRPr="00376D0B">
        <w:rPr>
          <w:rFonts w:hint="eastAsia"/>
          <w:sz w:val="30"/>
          <w:szCs w:val="30"/>
        </w:rPr>
        <w:t>日）</w:t>
      </w:r>
      <w:bookmarkEnd w:id="73"/>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各市场参与人：</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为贯彻落实《国家发展改革委 中国证监会关于推进传统基础设施领域政府和社会资本合作（PPP）项目资产证券化相关工作的通知》（发改投资〔2016〕2698号）等文件精神，推动政府和社会资本合作（PPP）项目融资方式创新，提升服务实体经济能力，上海证券交易所（以下简称本所）根据《证券公司及基金管理公司子公司资产证券化业务管理规定》、《上海证券交易所资产证券化业务指引》等相关规定，就推进PPP项目资产证券化业务有关事项通知如下：</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一、本所鼓励支持PPP项目企业及相关中介机构依法积极开展PPP项目资产证券化业务。各相关方应勤勉尽责，严格遵守执业规范和监管要求，切实履行尽职调查、信息披露、现金流归集、收益分配和风险防控等职责，确保业务稳健运营，保障投资者利益，维护市场稳定。</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二、本所成立PPP项目资产证券化工作小组，明确专人负责落实，对于符合条件的优质PPP项目资产证券化产品建立绿色通道，提升受理、评审和挂牌转让工作效率。项目申报阶段实行即报即审，受理后5个工作日内出具反馈意见，管理人提交反馈回复确认后3个工作日内召开工作小组会议，明确是否符合挂牌要求。项目挂牌阶段专人专岗负责，提升挂牌手续办理效率。</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lastRenderedPageBreak/>
        <w:t xml:space="preserve">　　三、根据统一安排，本所建立与证监会、发改委、基金业协会、证券业协会和其他交易场所的沟通衔接机制，积极推进符合条件的项目通过资产证券化方式实现市场化融资，为PPP项目联通资本市场提供配合与支持。</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本所PPP项目资产证券化工作小组联系人：贺锐骁，电话：021-50186162；徐承志，电话：021-50185671；胡双力，电话：021-50185107。资产证券化业务专用邮箱：</w:t>
      </w:r>
      <w:hyperlink r:id="rId79" w:tooltip="默认使用链接名字" w:history="1">
        <w:r w:rsidRPr="00376D0B">
          <w:rPr>
            <w:rFonts w:hint="eastAsia"/>
            <w:color w:val="333333"/>
            <w:sz w:val="27"/>
            <w:szCs w:val="27"/>
          </w:rPr>
          <w:t>sseabs@sse.com.cn</w:t>
        </w:r>
      </w:hyperlink>
      <w:r w:rsidRPr="00376D0B">
        <w:rPr>
          <w:rFonts w:ascii="微软雅黑" w:eastAsia="微软雅黑" w:hAnsi="微软雅黑" w:hint="eastAsia"/>
          <w:color w:val="333333"/>
          <w:sz w:val="27"/>
          <w:szCs w:val="27"/>
        </w:rPr>
        <w:t>。</w:t>
      </w:r>
      <w:r w:rsidRPr="00376D0B">
        <w:rPr>
          <w:rFonts w:ascii="微软雅黑" w:eastAsia="微软雅黑" w:hAnsi="微软雅黑" w:hint="eastAsia"/>
          <w:color w:val="333333"/>
          <w:sz w:val="27"/>
          <w:szCs w:val="27"/>
        </w:rPr>
        <w:br/>
        <w:t> </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特此通知。</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上海证券交易所</w:t>
      </w:r>
    </w:p>
    <w:p w:rsidR="00376D0B" w:rsidRPr="00376D0B" w:rsidRDefault="00376D0B" w:rsidP="00376D0B">
      <w:pPr>
        <w:pStyle w:val="a8"/>
        <w:shd w:val="clear" w:color="auto" w:fill="FFFFFF"/>
        <w:spacing w:before="0" w:beforeAutospacing="0" w:after="150" w:afterAutospacing="0" w:line="336" w:lineRule="atLeast"/>
        <w:rPr>
          <w:rFonts w:ascii="微软雅黑" w:eastAsia="微软雅黑" w:hAnsi="微软雅黑"/>
          <w:color w:val="333333"/>
          <w:sz w:val="27"/>
          <w:szCs w:val="27"/>
        </w:rPr>
      </w:pPr>
      <w:r w:rsidRPr="00376D0B">
        <w:rPr>
          <w:rFonts w:ascii="微软雅黑" w:eastAsia="微软雅黑" w:hAnsi="微软雅黑" w:hint="eastAsia"/>
          <w:color w:val="333333"/>
          <w:sz w:val="27"/>
          <w:szCs w:val="27"/>
        </w:rPr>
        <w:t xml:space="preserve">　　二〇一七年二月十七日</w:t>
      </w:r>
    </w:p>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 w:rsidR="00376D0B" w:rsidRDefault="00376D0B" w:rsidP="00376D0B">
      <w:pPr>
        <w:pStyle w:val="3"/>
        <w:jc w:val="center"/>
        <w:rPr>
          <w:sz w:val="30"/>
          <w:szCs w:val="30"/>
        </w:rPr>
      </w:pPr>
      <w:bookmarkStart w:id="74" w:name="_Toc12864234"/>
      <w:r w:rsidRPr="00376D0B">
        <w:rPr>
          <w:rFonts w:hint="eastAsia"/>
          <w:sz w:val="30"/>
          <w:szCs w:val="30"/>
        </w:rPr>
        <w:lastRenderedPageBreak/>
        <w:t>深圳证券交易所关于推进传统基础设施领域政府和社会资本合作（</w:t>
      </w:r>
      <w:r w:rsidRPr="00376D0B">
        <w:rPr>
          <w:rFonts w:hint="eastAsia"/>
          <w:sz w:val="30"/>
          <w:szCs w:val="30"/>
        </w:rPr>
        <w:t>PPP</w:t>
      </w:r>
      <w:r w:rsidRPr="00376D0B">
        <w:rPr>
          <w:rFonts w:hint="eastAsia"/>
          <w:sz w:val="30"/>
          <w:szCs w:val="30"/>
        </w:rPr>
        <w:t>）项目资产证券化业务的通知（深证会〔</w:t>
      </w:r>
      <w:r w:rsidRPr="00376D0B">
        <w:rPr>
          <w:rFonts w:hint="eastAsia"/>
          <w:sz w:val="30"/>
          <w:szCs w:val="30"/>
        </w:rPr>
        <w:t>2017</w:t>
      </w:r>
      <w:r w:rsidRPr="00376D0B">
        <w:rPr>
          <w:rFonts w:hint="eastAsia"/>
          <w:sz w:val="30"/>
          <w:szCs w:val="30"/>
        </w:rPr>
        <w:t>〕</w:t>
      </w:r>
      <w:r w:rsidRPr="00376D0B">
        <w:rPr>
          <w:rFonts w:hint="eastAsia"/>
          <w:sz w:val="30"/>
          <w:szCs w:val="30"/>
        </w:rPr>
        <w:t>46</w:t>
      </w:r>
      <w:r w:rsidRPr="00376D0B">
        <w:rPr>
          <w:rFonts w:hint="eastAsia"/>
          <w:sz w:val="30"/>
          <w:szCs w:val="30"/>
        </w:rPr>
        <w:t>号）</w:t>
      </w:r>
      <w:bookmarkEnd w:id="74"/>
    </w:p>
    <w:p w:rsidR="00B1020C" w:rsidRPr="00B1020C" w:rsidRDefault="00B1020C" w:rsidP="00B1020C">
      <w:pPr>
        <w:widowControl/>
        <w:shd w:val="clear" w:color="auto" w:fill="FFFFFF"/>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各市场参与人：</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为贯彻落实《国家发展改革委 中国证监会关于推进传统基础设施领域政府和社会资本合作（PPP）项目资产证券化相关工作的通知》（发改投资〔2016〕2698号）等文件精神，推动政府和社会资本合作（PPP）项目融资方式创新，提升服务实体经济能力，深圳证券交易所（以下简称“本所”）根据《证券公司及基金管理公司子公司资产证券化业务管理规定》、《深圳证券交易所资产证券化业务指引（2014年修订）》、《深圳证券交易所资产支持证券挂牌条件确认业务指引》等相关规定，就推进PPP项目资产证券化业务有关事项通知如下：</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一、本所鼓励支持PPP项目企业及相关中介机构依法积极开展PPP项目资产证券化业务。各相关方应勤勉尽责，严格遵守执业规范和监管要求，切实履行尽职调查、信息披露、现金流归集、收益分配和风险防控等职责，确保业务稳健运营，保障投资者利益，维护市场稳定。</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二、本所成立PPP项目资产证券化工作小组，明确专人落实相应职责，对于符合条件的优质PPP项目资产证券化产品，提升受理、评审和挂牌转让工作效率，实行“即报即审、专人专岗负责”。对于申报项目，受理后5个交易日内出具反馈意见，管理人提交反馈回复确认后3个交易日内召开挂牌工作小组会议。</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三、根据统一安排，本所逐步建立与证监会、发改委、基金业协会、证券业协会和其他交易场所的沟通衔接机制，积极推进符合条件的项目</w:t>
      </w:r>
      <w:r w:rsidRPr="00B1020C">
        <w:rPr>
          <w:rFonts w:ascii="微软雅黑" w:eastAsia="微软雅黑" w:hAnsi="微软雅黑" w:cs="宋体" w:hint="eastAsia"/>
          <w:color w:val="333333"/>
          <w:kern w:val="0"/>
          <w:sz w:val="27"/>
          <w:szCs w:val="27"/>
        </w:rPr>
        <w:lastRenderedPageBreak/>
        <w:t>通过资产证券化方式实现市场化融资，为PPP项目联通资本市场提供配合与支持。</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四、本所PPP项目资产证券化工作小组联系人：卞超、张暕、沈冰洁、徐向江</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联系电话：0755-88668481、0755-88668509、0755-88668353、0755-88668140</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电子邮箱：abs@szse.cn（资产证券化业务专用邮箱）</w:t>
      </w:r>
      <w:bookmarkStart w:id="75" w:name="FUND_NAME1"/>
      <w:bookmarkStart w:id="76" w:name="FUND_NAME2"/>
      <w:bookmarkStart w:id="77" w:name="FMARKETDATE_YEAR"/>
      <w:bookmarkStart w:id="78" w:name="FMARKETDATE_MONTH"/>
      <w:bookmarkStart w:id="79" w:name="FMARKETDATE_DAY"/>
      <w:bookmarkStart w:id="80" w:name="FCompanyName"/>
      <w:bookmarkStart w:id="81" w:name="FUND_NAME4"/>
      <w:bookmarkEnd w:id="75"/>
      <w:bookmarkEnd w:id="76"/>
      <w:bookmarkEnd w:id="77"/>
      <w:bookmarkEnd w:id="78"/>
      <w:bookmarkEnd w:id="79"/>
      <w:bookmarkEnd w:id="80"/>
      <w:bookmarkEnd w:id="81"/>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w:t>
      </w:r>
    </w:p>
    <w:p w:rsidR="00B1020C" w:rsidRPr="00B1020C" w:rsidRDefault="00B1020C" w:rsidP="00B1020C">
      <w:pPr>
        <w:widowControl/>
        <w:shd w:val="clear" w:color="auto" w:fill="FFFFFF"/>
        <w:ind w:firstLine="36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w:t>
      </w:r>
    </w:p>
    <w:p w:rsidR="00B1020C" w:rsidRPr="00B1020C" w:rsidRDefault="00B1020C" w:rsidP="00B1020C">
      <w:pPr>
        <w:widowControl/>
        <w:shd w:val="clear" w:color="auto" w:fill="FFFFFF"/>
        <w:ind w:right="636" w:firstLine="2268"/>
        <w:jc w:val="right"/>
        <w:rPr>
          <w:rFonts w:ascii="微软雅黑" w:eastAsia="微软雅黑" w:hAnsi="微软雅黑" w:cs="宋体"/>
          <w:color w:val="333333"/>
          <w:kern w:val="0"/>
          <w:sz w:val="27"/>
          <w:szCs w:val="27"/>
        </w:rPr>
      </w:pPr>
      <w:bookmarkStart w:id="82" w:name="BUYBACK_RATE"/>
      <w:bookmarkStart w:id="83" w:name="BOND_CODE2"/>
      <w:bookmarkEnd w:id="82"/>
      <w:bookmarkEnd w:id="83"/>
      <w:r w:rsidRPr="00B1020C">
        <w:rPr>
          <w:rFonts w:ascii="微软雅黑" w:eastAsia="微软雅黑" w:hAnsi="微软雅黑" w:cs="宋体" w:hint="eastAsia"/>
          <w:color w:val="333333"/>
          <w:kern w:val="0"/>
          <w:sz w:val="27"/>
          <w:szCs w:val="27"/>
        </w:rPr>
        <w:t> </w:t>
      </w:r>
    </w:p>
    <w:p w:rsidR="00B1020C" w:rsidRPr="00B1020C" w:rsidRDefault="00B1020C" w:rsidP="00B1020C">
      <w:pPr>
        <w:widowControl/>
        <w:shd w:val="clear" w:color="auto" w:fill="FFFFFF"/>
        <w:jc w:val="righ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深圳证券交易所   </w:t>
      </w:r>
    </w:p>
    <w:p w:rsidR="00B1020C" w:rsidRPr="00B1020C" w:rsidRDefault="00B1020C" w:rsidP="00B1020C">
      <w:pPr>
        <w:widowControl/>
        <w:shd w:val="clear" w:color="auto" w:fill="FFFFFF"/>
        <w:jc w:val="right"/>
        <w:rPr>
          <w:rFonts w:ascii="微软雅黑" w:eastAsia="微软雅黑" w:hAnsi="微软雅黑" w:cs="宋体"/>
          <w:color w:val="333333"/>
          <w:kern w:val="0"/>
          <w:sz w:val="27"/>
          <w:szCs w:val="27"/>
        </w:rPr>
      </w:pPr>
      <w:r w:rsidRPr="00B1020C">
        <w:rPr>
          <w:rFonts w:ascii="微软雅黑" w:eastAsia="微软雅黑" w:hAnsi="微软雅黑" w:cs="宋体"/>
          <w:color w:val="333333"/>
          <w:kern w:val="0"/>
          <w:sz w:val="27"/>
          <w:szCs w:val="27"/>
        </w:rPr>
        <w:t>2017</w:t>
      </w:r>
      <w:r w:rsidRPr="00B1020C">
        <w:rPr>
          <w:rFonts w:ascii="微软雅黑" w:eastAsia="微软雅黑" w:hAnsi="微软雅黑" w:cs="宋体" w:hint="eastAsia"/>
          <w:color w:val="333333"/>
          <w:kern w:val="0"/>
          <w:sz w:val="27"/>
          <w:szCs w:val="27"/>
        </w:rPr>
        <w:t>年</w:t>
      </w:r>
      <w:r w:rsidRPr="00B1020C">
        <w:rPr>
          <w:rFonts w:ascii="微软雅黑" w:eastAsia="微软雅黑" w:hAnsi="微软雅黑" w:cs="宋体"/>
          <w:color w:val="333333"/>
          <w:kern w:val="0"/>
          <w:sz w:val="27"/>
          <w:szCs w:val="27"/>
        </w:rPr>
        <w:t>2</w:t>
      </w:r>
      <w:r w:rsidRPr="00B1020C">
        <w:rPr>
          <w:rFonts w:ascii="微软雅黑" w:eastAsia="微软雅黑" w:hAnsi="微软雅黑" w:cs="宋体" w:hint="eastAsia"/>
          <w:color w:val="333333"/>
          <w:kern w:val="0"/>
          <w:sz w:val="27"/>
          <w:szCs w:val="27"/>
        </w:rPr>
        <w:t>月</w:t>
      </w:r>
      <w:r w:rsidRPr="00B1020C">
        <w:rPr>
          <w:rFonts w:ascii="微软雅黑" w:eastAsia="微软雅黑" w:hAnsi="微软雅黑" w:cs="宋体"/>
          <w:color w:val="333333"/>
          <w:kern w:val="0"/>
          <w:sz w:val="27"/>
          <w:szCs w:val="27"/>
        </w:rPr>
        <w:t>17</w:t>
      </w:r>
      <w:r w:rsidRPr="00B1020C">
        <w:rPr>
          <w:rFonts w:ascii="微软雅黑" w:eastAsia="微软雅黑" w:hAnsi="微软雅黑" w:cs="宋体" w:hint="eastAsia"/>
          <w:color w:val="333333"/>
          <w:kern w:val="0"/>
          <w:sz w:val="27"/>
          <w:szCs w:val="27"/>
        </w:rPr>
        <w:t>日   </w:t>
      </w:r>
    </w:p>
    <w:p w:rsidR="00376D0B" w:rsidRDefault="00376D0B"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376D0B"/>
    <w:p w:rsidR="00B1020C" w:rsidRDefault="00B1020C" w:rsidP="00B1020C">
      <w:pPr>
        <w:pStyle w:val="2"/>
        <w:jc w:val="center"/>
      </w:pPr>
      <w:bookmarkStart w:id="84" w:name="_Toc12864235"/>
      <w:r>
        <w:rPr>
          <w:rFonts w:hint="eastAsia"/>
        </w:rPr>
        <w:t>6</w:t>
      </w:r>
      <w:r>
        <w:rPr>
          <w:rFonts w:hint="eastAsia"/>
        </w:rPr>
        <w:t>、其他机构文件</w:t>
      </w:r>
      <w:bookmarkEnd w:id="84"/>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Pr>
        <w:pStyle w:val="3"/>
        <w:jc w:val="center"/>
        <w:rPr>
          <w:sz w:val="30"/>
          <w:szCs w:val="30"/>
        </w:rPr>
      </w:pPr>
      <w:bookmarkStart w:id="85" w:name="_Toc12864236"/>
      <w:r w:rsidRPr="00B1020C">
        <w:rPr>
          <w:rFonts w:hint="eastAsia"/>
          <w:sz w:val="30"/>
          <w:szCs w:val="30"/>
        </w:rPr>
        <w:lastRenderedPageBreak/>
        <w:t>机构间私募产品报价与服务系统关于进一步推进政府和社会资本合作（</w:t>
      </w:r>
      <w:r w:rsidRPr="00B1020C">
        <w:rPr>
          <w:rFonts w:hint="eastAsia"/>
          <w:sz w:val="30"/>
          <w:szCs w:val="30"/>
        </w:rPr>
        <w:t>PPP</w:t>
      </w:r>
      <w:r w:rsidRPr="00B1020C">
        <w:rPr>
          <w:rFonts w:hint="eastAsia"/>
          <w:sz w:val="30"/>
          <w:szCs w:val="30"/>
        </w:rPr>
        <w:t>）项目资产证券化业务的通知</w:t>
      </w:r>
      <w:bookmarkEnd w:id="85"/>
    </w:p>
    <w:p w:rsidR="00B1020C" w:rsidRPr="00B1020C" w:rsidRDefault="00B1020C" w:rsidP="00B1020C">
      <w:pPr>
        <w:widowControl/>
        <w:spacing w:before="100" w:beforeAutospacing="1" w:after="100" w:afterAutospacing="1"/>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各市场参与人：</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为贯彻落实《财政部 人民银行 证监会关于规范开展政府和社会资本合作项目资产证券化有关事宜的通知》（财金〔2017〕55号）等文件精神，进一步推进PPP项目资产证券化业务，提升服务实体经济能力，中证机构间报价系统股份有限公司（以下简称“中证报价”）根据《证券公司及基金管理公司子公司资产证券化业务管理规定》、《机构间私募产品报价与服务系统资产证券化业务指引（试行）》等相关规定，就有关事项通知如下：</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一、中证报价鼓励支持PPP项目公司、项目公司股东、项目公司其他相关主体及相关中介机构依法积极开展PPP项目资产证券化业务。各相关方应勤勉尽责，严格遵守执业规范和监管要求，确保业务稳健运营，保障投资者利益，维护市场稳定。</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二、对于各省级财政部门推荐的项目、中国政企合作支持基金投资的项目以及其他符合条件的优质PPP项目，提升受理、评审和挂牌转让工作效率，实行“即报即审、专人专岗负责”。对于申报项目，受理后5个交易日内出具反馈意见，管理人提交反馈回复确认后3个交易日内完成内部复审。</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lastRenderedPageBreak/>
        <w:t>三、中证报价将建立与证监会、财政部、基金业协会、证券业协会和其他交易场所的沟通衔接机制，积极推进符合条件的项目通过资产证券化方式实现市场化融资，为PPP项目联通资本市场提供配合与支持。</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四、中证报价PPP项目资产证券化工作小组联系人及联系方式如下：</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景雨露   010-83897872</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夏贻斌   010-83897879</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翁仕友   010-83897926</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刘思严   010-83897891</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电子邮箱：abs@sac.net.cn（资产证券化业务专用邮箱）</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w:t>
      </w:r>
    </w:p>
    <w:p w:rsidR="00B1020C" w:rsidRPr="00B1020C" w:rsidRDefault="00B1020C" w:rsidP="00B1020C">
      <w:pPr>
        <w:widowControl/>
        <w:spacing w:before="100" w:beforeAutospacing="1" w:after="100" w:afterAutospacing="1"/>
        <w:ind w:firstLineChars="200" w:firstLine="54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w:t>
      </w:r>
    </w:p>
    <w:p w:rsidR="00B1020C" w:rsidRPr="00B1020C" w:rsidRDefault="00B1020C" w:rsidP="00B1020C">
      <w:pPr>
        <w:widowControl/>
        <w:spacing w:before="100" w:beforeAutospacing="1" w:after="100" w:afterAutospacing="1"/>
        <w:ind w:firstLineChars="200" w:firstLine="540"/>
        <w:jc w:val="righ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中证机构间报价系统股份有限公司</w:t>
      </w:r>
    </w:p>
    <w:p w:rsidR="00B1020C" w:rsidRPr="00B1020C" w:rsidRDefault="00B1020C" w:rsidP="00B1020C">
      <w:pPr>
        <w:widowControl/>
        <w:spacing w:before="100" w:beforeAutospacing="1" w:after="100" w:afterAutospacing="1"/>
        <w:ind w:firstLineChars="200" w:firstLine="540"/>
        <w:jc w:val="righ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2017年 7 月 21 日</w:t>
      </w:r>
    </w:p>
    <w:p w:rsidR="00B1020C" w:rsidRPr="00B1020C" w:rsidRDefault="00B1020C" w:rsidP="00B1020C">
      <w:pPr>
        <w:widowControl/>
        <w:jc w:val="left"/>
        <w:rPr>
          <w:rFonts w:ascii="宋体" w:eastAsia="宋体" w:hAnsi="宋体" w:cs="宋体"/>
          <w:kern w:val="0"/>
          <w:sz w:val="24"/>
          <w:szCs w:val="24"/>
        </w:rPr>
      </w:pPr>
      <w:r w:rsidRPr="00B1020C">
        <w:rPr>
          <w:rFonts w:ascii="宋体" w:eastAsia="宋体" w:hAnsi="宋体" w:cs="宋体"/>
          <w:kern w:val="0"/>
          <w:sz w:val="24"/>
          <w:szCs w:val="24"/>
        </w:rPr>
        <w:t> </w:t>
      </w:r>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Pr>
        <w:pStyle w:val="3"/>
        <w:jc w:val="center"/>
        <w:rPr>
          <w:sz w:val="30"/>
          <w:szCs w:val="30"/>
        </w:rPr>
      </w:pPr>
      <w:bookmarkStart w:id="86" w:name="_Toc12864237"/>
      <w:r w:rsidRPr="00B1020C">
        <w:rPr>
          <w:rFonts w:hint="eastAsia"/>
          <w:sz w:val="30"/>
          <w:szCs w:val="30"/>
        </w:rPr>
        <w:lastRenderedPageBreak/>
        <w:t>关于</w:t>
      </w:r>
      <w:r w:rsidRPr="00B1020C">
        <w:rPr>
          <w:rFonts w:hint="eastAsia"/>
          <w:sz w:val="30"/>
          <w:szCs w:val="30"/>
        </w:rPr>
        <w:t>PPP</w:t>
      </w:r>
      <w:r w:rsidRPr="00B1020C">
        <w:rPr>
          <w:rFonts w:hint="eastAsia"/>
          <w:sz w:val="30"/>
          <w:szCs w:val="30"/>
        </w:rPr>
        <w:t>项目资产证券化产品实施专人专岗备案的通知（中基协</w:t>
      </w:r>
      <w:r w:rsidRPr="00B1020C">
        <w:rPr>
          <w:rFonts w:hint="eastAsia"/>
          <w:sz w:val="30"/>
          <w:szCs w:val="30"/>
        </w:rPr>
        <w:t>2017</w:t>
      </w:r>
      <w:r w:rsidRPr="00B1020C">
        <w:rPr>
          <w:rFonts w:hint="eastAsia"/>
          <w:sz w:val="30"/>
          <w:szCs w:val="30"/>
        </w:rPr>
        <w:t>年</w:t>
      </w:r>
      <w:r w:rsidRPr="00B1020C">
        <w:rPr>
          <w:rFonts w:hint="eastAsia"/>
          <w:sz w:val="30"/>
          <w:szCs w:val="30"/>
        </w:rPr>
        <w:t>2</w:t>
      </w:r>
      <w:r w:rsidRPr="00B1020C">
        <w:rPr>
          <w:rFonts w:hint="eastAsia"/>
          <w:sz w:val="30"/>
          <w:szCs w:val="30"/>
        </w:rPr>
        <w:t>月</w:t>
      </w:r>
      <w:r w:rsidRPr="00B1020C">
        <w:rPr>
          <w:rFonts w:hint="eastAsia"/>
          <w:sz w:val="30"/>
          <w:szCs w:val="30"/>
        </w:rPr>
        <w:t>17</w:t>
      </w:r>
      <w:r w:rsidRPr="00B1020C">
        <w:rPr>
          <w:rFonts w:hint="eastAsia"/>
          <w:sz w:val="30"/>
          <w:szCs w:val="30"/>
        </w:rPr>
        <w:t>日）</w:t>
      </w:r>
      <w:bookmarkEnd w:id="86"/>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各证券公司，基金公司子公司：</w:t>
      </w:r>
      <w:r w:rsidRPr="00B1020C">
        <w:rPr>
          <w:rFonts w:ascii="微软雅黑" w:eastAsia="微软雅黑" w:hAnsi="微软雅黑" w:cs="宋体" w:hint="eastAsia"/>
          <w:color w:val="333333"/>
          <w:kern w:val="0"/>
          <w:sz w:val="27"/>
          <w:szCs w:val="27"/>
        </w:rPr>
        <w:br/>
      </w:r>
    </w:p>
    <w:p w:rsid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为贯彻落实《国家发展改革委 中国证监会关于推进传统基础设施领域政府和社会资本合作（PPP）项目资产证券化相关工作的通知》（以下简称《通知》），提高国家发展改革委优选的PPP项目资产证券化产品审核、挂牌和备案的工作效率，我会针对PPP项目资产证券化产品实施专人专岗备案管理，现就有关事项通知如下：</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专项计划管理人按照《资产支持专项计划备案管理办法》（以下简称《备案管理办法》）的要求,通过基金业协会备案管理系统以电子化方式报备PPP项目资产证券化产品，备案网址为：ba.amac.org.cn。</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针对符合《通知》要求的PPP项目资产证券化产品，我会指定专人负责，依据《备案管理办法》在备案标准不放松的前提下，即报即审、提高效率，加快备案速度，优先出具备案确认函。</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中国证券投资基金业协会将全力配合证监会、交易所，落实《通知》工作，引导PPP项目资产证券化业务健康发展。</w:t>
      </w:r>
      <w:r w:rsidRPr="00B1020C">
        <w:rPr>
          <w:rFonts w:ascii="微软雅黑" w:eastAsia="微软雅黑" w:hAnsi="微软雅黑" w:cs="宋体" w:hint="eastAsia"/>
          <w:color w:val="333333"/>
          <w:kern w:val="0"/>
          <w:sz w:val="27"/>
          <w:szCs w:val="27"/>
        </w:rPr>
        <w:br/>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协会备案专员：周晓昭，刘恋</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联系电话：010-66578320; 010-66578337</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电子邮箱：zczqh@amac.org.cn</w:t>
      </w:r>
    </w:p>
    <w:p w:rsidR="00B1020C" w:rsidRPr="00B1020C" w:rsidRDefault="00B1020C" w:rsidP="00B1020C">
      <w:pPr>
        <w:widowControl/>
        <w:shd w:val="clear" w:color="auto" w:fill="FFFFFF"/>
        <w:spacing w:line="420" w:lineRule="atLeast"/>
        <w:ind w:firstLine="480"/>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lastRenderedPageBreak/>
        <w:br/>
      </w:r>
    </w:p>
    <w:p w:rsidR="00B1020C" w:rsidRPr="00B1020C" w:rsidRDefault="00B1020C" w:rsidP="00B1020C">
      <w:pPr>
        <w:widowControl/>
        <w:shd w:val="clear" w:color="auto" w:fill="FFFFFF"/>
        <w:spacing w:line="420" w:lineRule="atLeast"/>
        <w:ind w:firstLine="480"/>
        <w:jc w:val="righ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中国证券投资基金业协会</w:t>
      </w:r>
    </w:p>
    <w:p w:rsidR="00B1020C" w:rsidRPr="00B1020C" w:rsidRDefault="00B1020C" w:rsidP="00B1020C">
      <w:pPr>
        <w:widowControl/>
        <w:shd w:val="clear" w:color="auto" w:fill="FFFFFF"/>
        <w:spacing w:line="420" w:lineRule="atLeast"/>
        <w:ind w:firstLine="480"/>
        <w:jc w:val="righ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二〇一七年二月十七日 </w:t>
      </w: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rPr>
          <w:rFonts w:ascii="微软雅黑" w:eastAsia="微软雅黑" w:hAnsi="微软雅黑" w:cs="宋体"/>
          <w:color w:val="333333"/>
          <w:kern w:val="0"/>
          <w:sz w:val="27"/>
          <w:szCs w:val="27"/>
        </w:rPr>
      </w:pPr>
    </w:p>
    <w:p w:rsidR="00B1020C" w:rsidRDefault="00B1020C" w:rsidP="00B1020C">
      <w:pPr>
        <w:pStyle w:val="3"/>
        <w:jc w:val="center"/>
        <w:rPr>
          <w:sz w:val="30"/>
          <w:szCs w:val="30"/>
        </w:rPr>
      </w:pPr>
      <w:bookmarkStart w:id="87" w:name="_Toc12864238"/>
      <w:r w:rsidRPr="00B1020C">
        <w:rPr>
          <w:rFonts w:hint="eastAsia"/>
          <w:sz w:val="30"/>
          <w:szCs w:val="30"/>
        </w:rPr>
        <w:lastRenderedPageBreak/>
        <w:t>关于发布《资产支持专项计划备案管理办法》及配套规则的通知（中基协函〔</w:t>
      </w:r>
      <w:r w:rsidRPr="00B1020C">
        <w:rPr>
          <w:rFonts w:hint="eastAsia"/>
          <w:sz w:val="30"/>
          <w:szCs w:val="30"/>
        </w:rPr>
        <w:t>2014</w:t>
      </w:r>
      <w:r w:rsidRPr="00B1020C">
        <w:rPr>
          <w:rFonts w:hint="eastAsia"/>
          <w:sz w:val="30"/>
          <w:szCs w:val="30"/>
        </w:rPr>
        <w:t>〕</w:t>
      </w:r>
      <w:r w:rsidRPr="00B1020C">
        <w:rPr>
          <w:rFonts w:hint="eastAsia"/>
          <w:sz w:val="30"/>
          <w:szCs w:val="30"/>
        </w:rPr>
        <w:t>459</w:t>
      </w:r>
      <w:r w:rsidRPr="00B1020C">
        <w:rPr>
          <w:rFonts w:hint="eastAsia"/>
          <w:sz w:val="30"/>
          <w:szCs w:val="30"/>
        </w:rPr>
        <w:t>号）</w:t>
      </w:r>
      <w:bookmarkEnd w:id="87"/>
    </w:p>
    <w:p w:rsidR="00B1020C" w:rsidRPr="00B1020C" w:rsidRDefault="00B1020C" w:rsidP="00B1020C">
      <w:pPr>
        <w:pStyle w:val="a8"/>
        <w:shd w:val="clear" w:color="auto" w:fill="FFFFFF"/>
        <w:rPr>
          <w:rFonts w:ascii="微软雅黑" w:eastAsia="微软雅黑" w:hAnsi="微软雅黑"/>
          <w:color w:val="333333"/>
          <w:sz w:val="27"/>
          <w:szCs w:val="27"/>
        </w:rPr>
      </w:pPr>
      <w:r w:rsidRPr="00B1020C">
        <w:rPr>
          <w:rFonts w:ascii="微软雅黑" w:eastAsia="微软雅黑" w:hAnsi="微软雅黑"/>
          <w:color w:val="333333"/>
          <w:sz w:val="27"/>
          <w:szCs w:val="27"/>
        </w:rPr>
        <w:t>各证券公司、基金管理公司子公司：</w:t>
      </w:r>
    </w:p>
    <w:p w:rsidR="00B1020C" w:rsidRPr="00B1020C" w:rsidRDefault="00B1020C" w:rsidP="00B1020C">
      <w:pPr>
        <w:pStyle w:val="a8"/>
        <w:shd w:val="clear" w:color="auto" w:fill="FFFFFF"/>
        <w:rPr>
          <w:rFonts w:ascii="微软雅黑" w:eastAsia="微软雅黑" w:hAnsi="微软雅黑"/>
          <w:color w:val="333333"/>
          <w:sz w:val="27"/>
          <w:szCs w:val="27"/>
        </w:rPr>
      </w:pPr>
      <w:r w:rsidRPr="00B1020C">
        <w:rPr>
          <w:rFonts w:ascii="微软雅黑" w:eastAsia="微软雅黑" w:hAnsi="微软雅黑"/>
          <w:color w:val="333333"/>
          <w:sz w:val="27"/>
          <w:szCs w:val="27"/>
        </w:rPr>
        <w:t>       根据《证券公司及基金管理公司子公司资产证券化业务管理规定》的相关要求，我会将承担资产证券化业务的事后备案工作，对资产支持专项计划备案、风险控制等实施自律管理，并对基础资产负面清单进行管理。为此，我会制定了《资产支持专项计划备案管理办法》、《资产证券化业务基础资产负面清单指引》、《资产证券化业务风险控制指引》等自律规则或相关文件（见附件），现予以公布，自公布之日起施行。</w:t>
      </w:r>
    </w:p>
    <w:p w:rsidR="00B1020C" w:rsidRPr="00B1020C" w:rsidRDefault="005C4B70" w:rsidP="00B1020C">
      <w:pPr>
        <w:pStyle w:val="a8"/>
        <w:shd w:val="clear" w:color="auto" w:fill="FFFFFF"/>
        <w:rPr>
          <w:rFonts w:ascii="微软雅黑" w:eastAsia="微软雅黑" w:hAnsi="微软雅黑"/>
          <w:color w:val="333333"/>
          <w:sz w:val="27"/>
          <w:szCs w:val="27"/>
        </w:rPr>
      </w:pPr>
      <w:hyperlink r:id="rId80" w:tooltip="附件1：资产支持专项计划备案管理办法" w:history="1">
        <w:r w:rsidR="00B1020C" w:rsidRPr="00B1020C">
          <w:rPr>
            <w:rFonts w:ascii="微软雅黑" w:eastAsia="微软雅黑" w:hAnsi="微软雅黑"/>
            <w:color w:val="333333"/>
            <w:sz w:val="27"/>
            <w:szCs w:val="27"/>
          </w:rPr>
          <w:t>附件1：资产支持专项计划备案管理办法</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1" w:tooltip="附件2：资产证券化业务基础资产负面清单指引" w:history="1">
        <w:r w:rsidR="00B1020C" w:rsidRPr="00B1020C">
          <w:rPr>
            <w:rFonts w:ascii="微软雅黑" w:eastAsia="微软雅黑" w:hAnsi="微软雅黑"/>
            <w:color w:val="333333"/>
            <w:sz w:val="27"/>
            <w:szCs w:val="27"/>
          </w:rPr>
          <w:t>附件2：资产证券化业务基础资产负面清单指引</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2" w:tooltip="附件3：资产证券化业务风险控制指引" w:history="1">
        <w:r w:rsidR="00B1020C" w:rsidRPr="00B1020C">
          <w:rPr>
            <w:rFonts w:ascii="微软雅黑" w:eastAsia="微软雅黑" w:hAnsi="微软雅黑"/>
            <w:color w:val="333333"/>
            <w:sz w:val="27"/>
            <w:szCs w:val="27"/>
          </w:rPr>
          <w:t>附件3：资产证券化业务风险控制指引</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3" w:tooltip="附件4：资产证券化业务自律规则的起草说明" w:history="1">
        <w:r w:rsidR="00B1020C" w:rsidRPr="00B1020C">
          <w:rPr>
            <w:rFonts w:ascii="微软雅黑" w:eastAsia="微软雅黑" w:hAnsi="微软雅黑"/>
            <w:color w:val="333333"/>
            <w:sz w:val="27"/>
            <w:szCs w:val="27"/>
          </w:rPr>
          <w:t>附件4：资产证券化业务自律规则的起草说明</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4" w:tooltip="附件5：资产支持专项计划说明书内容与格式指引（试行）" w:history="1">
        <w:r w:rsidR="00B1020C" w:rsidRPr="00B1020C">
          <w:rPr>
            <w:rFonts w:ascii="微软雅黑" w:eastAsia="微软雅黑" w:hAnsi="微软雅黑"/>
            <w:color w:val="333333"/>
            <w:sz w:val="27"/>
            <w:szCs w:val="27"/>
          </w:rPr>
          <w:t>附件5：资产支持专项计划说明书内容与格式指引（试行）</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5" w:tooltip="附件6：资产支持证券认购协议与风险揭示书（适用个人投资者）" w:history="1">
        <w:r w:rsidR="00B1020C" w:rsidRPr="00B1020C">
          <w:rPr>
            <w:rFonts w:ascii="微软雅黑" w:eastAsia="微软雅黑" w:hAnsi="微软雅黑"/>
            <w:color w:val="333333"/>
            <w:sz w:val="27"/>
            <w:szCs w:val="27"/>
          </w:rPr>
          <w:t>附件6：资产支持证券认购协议与风险揭示书（适用个人投资者）</w:t>
        </w:r>
      </w:hyperlink>
    </w:p>
    <w:p w:rsidR="00B1020C" w:rsidRPr="00B1020C" w:rsidRDefault="005C4B70" w:rsidP="00B1020C">
      <w:pPr>
        <w:pStyle w:val="a8"/>
        <w:shd w:val="clear" w:color="auto" w:fill="FFFFFF"/>
        <w:rPr>
          <w:rFonts w:ascii="微软雅黑" w:eastAsia="微软雅黑" w:hAnsi="微软雅黑"/>
          <w:color w:val="333333"/>
          <w:sz w:val="27"/>
          <w:szCs w:val="27"/>
        </w:rPr>
      </w:pPr>
      <w:hyperlink r:id="rId86" w:tooltip="附件7：资产支持证券认购协议与风险揭示书（适用机构投资者）" w:history="1">
        <w:r w:rsidR="00B1020C" w:rsidRPr="00B1020C">
          <w:rPr>
            <w:rFonts w:ascii="微软雅黑" w:eastAsia="微软雅黑" w:hAnsi="微软雅黑"/>
            <w:color w:val="333333"/>
            <w:sz w:val="27"/>
            <w:szCs w:val="27"/>
          </w:rPr>
          <w:t>附件7：资产支持证券认购协议与风险揭示书（适用机构投资者）</w:t>
        </w:r>
      </w:hyperlink>
    </w:p>
    <w:p w:rsidR="00B1020C" w:rsidRPr="00B1020C" w:rsidRDefault="00B1020C" w:rsidP="00B1020C">
      <w:pPr>
        <w:pStyle w:val="a8"/>
        <w:shd w:val="clear" w:color="auto" w:fill="FFFFFF"/>
        <w:rPr>
          <w:rFonts w:ascii="微软雅黑" w:eastAsia="微软雅黑" w:hAnsi="微软雅黑"/>
          <w:color w:val="333333"/>
          <w:sz w:val="27"/>
          <w:szCs w:val="27"/>
        </w:rPr>
      </w:pPr>
      <w:r w:rsidRPr="00B1020C">
        <w:rPr>
          <w:rFonts w:ascii="微软雅黑" w:eastAsia="微软雅黑" w:hAnsi="微软雅黑"/>
          <w:color w:val="333333"/>
          <w:sz w:val="27"/>
          <w:szCs w:val="27"/>
        </w:rPr>
        <w:t>                                   </w:t>
      </w:r>
    </w:p>
    <w:p w:rsidR="00B1020C" w:rsidRPr="00B1020C" w:rsidRDefault="00B1020C" w:rsidP="00B1020C">
      <w:pPr>
        <w:pStyle w:val="a8"/>
        <w:shd w:val="clear" w:color="auto" w:fill="FFFFFF"/>
        <w:jc w:val="right"/>
        <w:rPr>
          <w:rFonts w:ascii="微软雅黑" w:eastAsia="微软雅黑" w:hAnsi="微软雅黑"/>
          <w:color w:val="333333"/>
          <w:sz w:val="27"/>
          <w:szCs w:val="27"/>
        </w:rPr>
      </w:pPr>
      <w:r w:rsidRPr="00B1020C">
        <w:rPr>
          <w:rFonts w:ascii="微软雅黑" w:eastAsia="微软雅黑" w:hAnsi="微软雅黑"/>
          <w:color w:val="333333"/>
          <w:sz w:val="27"/>
          <w:szCs w:val="27"/>
        </w:rPr>
        <w:lastRenderedPageBreak/>
        <w:t>中国证券投资基金业协会</w:t>
      </w:r>
    </w:p>
    <w:p w:rsidR="00B1020C" w:rsidRPr="00B1020C" w:rsidRDefault="00B1020C" w:rsidP="00B1020C">
      <w:pPr>
        <w:pStyle w:val="a8"/>
        <w:shd w:val="clear" w:color="auto" w:fill="FFFFFF"/>
        <w:jc w:val="right"/>
        <w:rPr>
          <w:rFonts w:ascii="微软雅黑" w:eastAsia="微软雅黑" w:hAnsi="微软雅黑"/>
          <w:color w:val="333333"/>
          <w:sz w:val="27"/>
          <w:szCs w:val="27"/>
        </w:rPr>
      </w:pPr>
      <w:r w:rsidRPr="00B1020C">
        <w:rPr>
          <w:rFonts w:ascii="微软雅黑" w:eastAsia="微软雅黑" w:hAnsi="微软雅黑"/>
          <w:color w:val="333333"/>
          <w:sz w:val="27"/>
          <w:szCs w:val="27"/>
        </w:rPr>
        <w:t>二〇一四年十二月二十四日</w:t>
      </w:r>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Pr>
        <w:pStyle w:val="2"/>
        <w:jc w:val="center"/>
      </w:pPr>
      <w:bookmarkStart w:id="88" w:name="_Toc12864239"/>
      <w:r>
        <w:rPr>
          <w:rFonts w:hint="eastAsia"/>
        </w:rPr>
        <w:t>（三）土地</w:t>
      </w:r>
      <w:bookmarkEnd w:id="88"/>
    </w:p>
    <w:p w:rsidR="00B1020C" w:rsidRDefault="00B1020C" w:rsidP="00B1020C">
      <w:pPr>
        <w:pStyle w:val="2"/>
        <w:jc w:val="center"/>
      </w:pPr>
      <w:bookmarkStart w:id="89" w:name="_Toc12864240"/>
      <w:r>
        <w:rPr>
          <w:rFonts w:hint="eastAsia"/>
        </w:rPr>
        <w:t>1</w:t>
      </w:r>
      <w:r>
        <w:rPr>
          <w:rFonts w:hint="eastAsia"/>
        </w:rPr>
        <w:t>、土地综合利用</w:t>
      </w:r>
      <w:bookmarkEnd w:id="89"/>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Pr>
        <w:pStyle w:val="3"/>
        <w:jc w:val="center"/>
        <w:rPr>
          <w:sz w:val="30"/>
          <w:szCs w:val="30"/>
        </w:rPr>
      </w:pPr>
      <w:bookmarkStart w:id="90" w:name="_Toc12864241"/>
      <w:r w:rsidRPr="00B1020C">
        <w:rPr>
          <w:rFonts w:hint="eastAsia"/>
          <w:sz w:val="30"/>
          <w:szCs w:val="30"/>
        </w:rPr>
        <w:lastRenderedPageBreak/>
        <w:t>自然资源部办公厅关于印发《产业用地政策实施工作指引（</w:t>
      </w:r>
      <w:r w:rsidRPr="00B1020C">
        <w:rPr>
          <w:rFonts w:hint="eastAsia"/>
          <w:sz w:val="30"/>
          <w:szCs w:val="30"/>
        </w:rPr>
        <w:t>2019</w:t>
      </w:r>
      <w:r w:rsidRPr="00B1020C">
        <w:rPr>
          <w:rFonts w:hint="eastAsia"/>
          <w:sz w:val="30"/>
          <w:szCs w:val="30"/>
        </w:rPr>
        <w:t>年版）》的通知（自然资办发〔</w:t>
      </w:r>
      <w:r w:rsidRPr="00B1020C">
        <w:rPr>
          <w:rFonts w:hint="eastAsia"/>
          <w:sz w:val="30"/>
          <w:szCs w:val="30"/>
        </w:rPr>
        <w:t>2019</w:t>
      </w:r>
      <w:r w:rsidRPr="00B1020C">
        <w:rPr>
          <w:rFonts w:hint="eastAsia"/>
          <w:sz w:val="30"/>
          <w:szCs w:val="30"/>
        </w:rPr>
        <w:t>〕</w:t>
      </w:r>
      <w:r w:rsidRPr="00B1020C">
        <w:rPr>
          <w:rFonts w:hint="eastAsia"/>
          <w:sz w:val="30"/>
          <w:szCs w:val="30"/>
        </w:rPr>
        <w:t>31</w:t>
      </w:r>
      <w:r w:rsidRPr="00B1020C">
        <w:rPr>
          <w:rFonts w:hint="eastAsia"/>
          <w:sz w:val="30"/>
          <w:szCs w:val="30"/>
        </w:rPr>
        <w:t>号）</w:t>
      </w:r>
      <w:bookmarkEnd w:id="90"/>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各省、自治区、直辖市自然资源主管部门，新疆生产建设兵团自然资源主管部门：</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为深入贯彻习近平新时代中国特色社会主义思想，认真落实习近平总书记在民营企业座谈会上的重要讲话精神及扩大开放的重要指示批示精神，保障各种所有制经济主体平等取得土地要素，有力促进高质量发展，部根据土地管理法律法规规章及现行有效的规范性文件，梳理政策实施要点，编制形成《产业用地政策实施工作指引（2019年版）》（以下简称《指引》），指导地方自然资源主管部门特别是市、县自然资源主管部门规范执行产业用地政策，同时供其他行业主管部门和用地者参考。</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各级自然资源主管部门要深刻认识坚持和完善我国社会主义基本经济制度、坚持“两个毫不动摇”对深化供给侧结构性改革、推动高质量发展的重要意义，在产业用地政策执行中做到对各种所有制经济一视同仁，切实落实权利平等、机会平等、规则平等要求；要深入推动节约集约用地，通过转变土地利用方式和提高土地利用效率释放更大的用地空间，保障新产业新业态发展和民生服务设施建设需求；要面向各类用地主体特别是民营企业、外资企业宣传、解读产业用地政策，在工作中规范执行政策，营造支持高质量发展的良好社会氛围。</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本《指引》印发后，《国土资源部办公厅关于印发〈产业用地政策实施工作指引〉的通知》（国土资厅发〔2016〕38号）同时废止，国家及有关部门新出台的政策规定与本《指引》及其引用的文件规定不一致的，以新的政策规定为准。</w:t>
      </w:r>
    </w:p>
    <w:p w:rsidR="00B1020C" w:rsidRPr="00B1020C" w:rsidRDefault="00B1020C" w:rsidP="00B1020C">
      <w:pPr>
        <w:widowControl/>
        <w:shd w:val="clear" w:color="auto" w:fill="FFFFFF"/>
        <w:spacing w:line="720" w:lineRule="atLeast"/>
        <w:jc w:val="righ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righ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xml:space="preserve">　　                         自然资源部办公厅</w:t>
      </w:r>
    </w:p>
    <w:p w:rsidR="00B1020C" w:rsidRPr="00B1020C" w:rsidRDefault="00B1020C" w:rsidP="00B1020C">
      <w:pPr>
        <w:widowControl/>
        <w:shd w:val="clear" w:color="auto" w:fill="FFFFFF"/>
        <w:spacing w:line="720" w:lineRule="atLeast"/>
        <w:jc w:val="righ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xml:space="preserve">　　                              2019年4月24日</w:t>
      </w:r>
    </w:p>
    <w:p w:rsidR="00B1020C" w:rsidRPr="00B1020C" w:rsidRDefault="00B1020C" w:rsidP="00B1020C">
      <w:pPr>
        <w:widowControl/>
        <w:shd w:val="clear" w:color="auto" w:fill="FFFFFF"/>
        <w:spacing w:line="720" w:lineRule="atLeast"/>
        <w:jc w:val="center"/>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产业用地政策实施工作指引（2019年版）</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第一章 总则</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第一条（产业用地政策含义）产业用地政策是指国务院、国务院办公厅及自然资源部等部门的规范性文件中规定的适用于特定行业的用地政策。上述特定行业不包括房地产业。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本指引引用的相关文件清单见附录，并可在中国政府网（www.gov.cn）或自然资源部门户网站（www.mnr.gov.cn）查询。</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第二条（产业用地涉及的内容）本指引重点对上述特定行业涉及的国土空间规划、土地用途管制、土地利用计划安排、土地供应、土地利用、不动产登记等涉及的政策要点予以归纳说明。</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第三条（产业用地基本原则）地方各级自然资源主管部门应当遵守国家有关法律法规规章和产业用地政策规定，落实国土空间规划的管控要求，在保障产业发展用地中坚持规划确定用途、用途确定供应方式、市场确定供应价格的原则。</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四条（平等对待各类用地主体）地方各级自然资源主管部门执行产业用地政策时，应当坚持公平、开放、透明的市场规则，对产业用地中各种所有制经济一视同仁、平等对待，防止排除、限制市场竞争等不规范行为。</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第二章 土地供应基本规定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五条（划拨方式取得国有建设用地使用权）符合《划拨用地目录》（国土资源部令第9号）规定的建设用地项目，方可以划拨方式提供国有建设用地使用权。划拨国有建设用地使用权人应当按照划拨决定书规定的用途和使用条件开发建设和使用土地。未经有批准权的市、县人民政府自然资源主管部门批准，划拨国有建设用地使用权不得擅自转让、出租。</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除划拨决定书、法律、法规、行政规定等明确应当收回土地使用权重新出让的外，划拨国有建设用地使用权人申请办理有偿使用手续的，自然资源主管部门应当依法依规予以办理。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第六条（出让方式取得国有建设用地使用权）工业、商业、旅游、娱乐和商品住宅等经营性用地以及同一宗地有两个以上意向用地者的，应当以招标、拍卖或者挂牌方式出让。</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符合《协议出让国有土地使用权规定》（国土资源部令第21号）的相关条件和要求的国有建设用地使用权，可以协议方式出让，按照《协议出让国有土地使用权规范（试行）》（国土资发〔2006〕114号）办理出让手续。以协议方式出让国有建设用地使用权的出让金不得低于按国家规定所确定的最低价。</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依法以出让方式取得的国有建设用地使用权，在使用年限内可以转让、出租、抵押等。</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七条（改变土地用途）依据《土地管理法》《城市房地产管理法》的规定，建设单位应当按照国有建设用地使用权出让等有偿使用合同的约定或者国有建设用地划拨批准文件的规定使用土地。确需改变土地用途的，经有关人民政府自然资源主管部门同意，报原批准用地的人民政府批准。经批准改变土地用途的，签订国有建设用地使用权出让合同变更协议或者重新签订国有建设用地使用权出让合同，相应补缴国有建设用地使用权价款，按规定办理不动产登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第三章 产业用地政策实施</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八条（可按原地类管理的情形）各地要依据国土空间规划积极引导产业项目合理选址，尽量利用未利用地及存量建设用地等，不占或少占耕地，严格保护永久基本农田。依据下列规定使用的农用地或未利用地，可按原地类认定和管理，并严格按照规定条件使用土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一）依据《关于支持新产业新业态发展促进大众创业万众创新用地的意见》（国土资规〔2015〕5号）的规定，光伏、风力发电项目使用戈壁、荒漠、荒草地等未利用土地的，对不占压土地、不改变地表形态的用地部分，可按原地类认定。依据《关于支持光伏扶贫和规范光伏发电产业用地的意见》（国土资规〔2017〕8号）的规定，对深度贫困地区脱贫攻坚中建设的光伏发电项目，国家能源局、国务院扶贫办确定下达的全国村级光伏扶贫电站建设规模范围内的光伏发电项目，以及符合当地建设要求和认定标准的光伏复合项目，其光伏方阵使用永久基本农田以外的农用地的，在不破坏农业生产条件的前提下，可不改变原用地性质。其中，农用地、未利用地按照土地调查成果认定，光伏方阵用地面积按照《光伏发电站工程项目用地控制指标》（国土资规〔2015〕11号）核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（二）依据《关于支持旅游业发展用地政策的意见》（国土资规〔2015〕10号）的规定，旅游项目中属于自然景观用地及农牧渔业种植、养殖用地的，不征收（收回）、不转用，按现用途管理。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三）依据《促进乡村旅游发展提质升级行动方案（2018－2020年）》（发改综合〔2018〕1465号）的规定，经市县发展改革、住房城乡建设、农业农村、文化和旅游等主管部门认定为仅在年度内特定旅游季节使用土地的乡村旅游停车设施，自然资源主管部门在相关设施不使用永久基本农田、不破坏生态与景观环境、不影响地质安全、不影响农业种植、不硬化地面、不建设永久设施的前提下，可不征收（收回）、不转用，按现用途管理。超出特定旅游季节未恢复原状的，由市县发展改革、住房城乡建设、农业农村、文化和旅游等主管部门责令恢复原状。</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（四）依据《关于促进自驾车旅居车旅游发展的若干意见》（旅发〔2016〕148号）的规定，对自驾车旅居车营地的特定功能区，使用未利用地的，在不改变土地用途、不固化地面的前提下，可按原地类管理。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（五）依据《全国冰雪场地设施建设规划（2016－2022年）》（体经字〔2016〕646号）的规定，对利用现有山川水面建设冰雪场地设施，对不占压土地、不改变地表形态的，可按原地类管理。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第九条（土地利用计划安排）各地要根据国家产业政策、国土空间规划和当地产业发展情况，统筹使用新增和存量建设用地，合理安排用地计</w:t>
      </w:r>
      <w:r w:rsidRPr="00B1020C">
        <w:rPr>
          <w:rFonts w:ascii="微软雅黑" w:eastAsia="微软雅黑" w:hAnsi="微软雅黑" w:cs="宋体" w:hint="eastAsia"/>
          <w:color w:val="000000"/>
          <w:kern w:val="0"/>
          <w:sz w:val="27"/>
          <w:szCs w:val="27"/>
        </w:rPr>
        <w:lastRenderedPageBreak/>
        <w:t>划指标，优先支持符合产业政策的项目用地，服务民生设施建设，促进产业创新发展。</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一）依据《国务院关于促进外资增长若干措施的通知》（国发〔2017〕39号）的规定，允许各地在符合经济社会发展规划、土地利用总体规划、城市总体规划的前提下，对国家级开发区利用外资项目所需建设用地指标予以优先保障，做到应保尽保。</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二）依据《国务院办公厅关于进一步激发社会领域投资活力的意见》（国办发〔2017〕21号）的规定，各地要将医疗、养老、教育、文化、体育等领域用地纳入国土空间规划和年度用地计划，农用地转用指标、新增用地指标分配要适当向上述领域倾斜，有序适度扩大用地供给。</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三）依据《国务院办公厅关于完善国家级经济技术开发区考核制度促进创新驱动发展的指导意见》（国办发〔2016〕14号）的规定，省级人民政府在用地指标中可对国家级经济技术开发区予以单列，优先安排创新创业企业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（四）依据《国务院关于进一步支持小型微型企业健康发展的意见》（国发〔2012〕14号）的规定，对规划建设的小企业创业基地、科技孵化器、商贸企业集聚区等，要优先安排用地计划指标。</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（五）结合本地区实际，优先安排产业发展较快的地区、集聚区及使用未利用地发展产业的用地计划。</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第十条（国有建设用地供应计划安排）市、县自然资源主管部门应结合产业用地政策要求和国土空间规划，依据《国有建设用地供应计划编制规范（试行）》（国土资发〔2010〕117号）的规定编制年度国有建设用地供应计划，科学安排国有建设用地供应的总量、结构、布局、时序和方式。符合下列规定的，可优先纳入供应计划：</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（一）国务院及其职能部门发布的产业发展规划中明确的重点产业。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（二）国务院及其职能部门发布的产业促进政策中明确的重点产业。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（三）县级以上地方人民政府依据前述规划、政策明确的本地区重点产业。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各地制定国有建设用地供应计划，要根据国家对养老、教育、医疗、体育等公共服务设施建设的政策要求，合理确定并保障土地供应规模。依据《国务院关于促进外贸回稳向好的若干意见》（国发〔2016〕27号）的规定，中西部地区要加大加工贸易产业用地保障力度，优先纳入供地计划并优先供应。</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一条（土地用途的确定）市、县自然资源主管部门在组织产业用地供应时，在城市、镇规划区内以出让方式供地的，应按照《城乡规划法》的规定，依据控制性详细规划，提出出让地块的位置、使用性质、开发强度等规划条件，作为出让合同的组成部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国家支持发展的新产业、新业态项目用地，符合国土资规〔2015〕5号文件规定的，可以按照相关规定确定土地用途。对现行国家标准分类中没有明确定义的新产业、新业态类型，市、县自然资源主管部门可按照国土资规〔2015〕5号文件规定，结合土地供应政策要求和当地产业发展实际需要，商同级产业主管部门提出规划用途的建议意见。</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市、县自然资源主管部门在签订国有建设用地使用权出让合同时，合同中的宗地用途按国家标准《土地利用现状分类》（GB/T21010－2017）规定的土地二级类填写，规划条件与《土地利用现状分类》无直接对应类型的，应研究确定对应的土地二级类的类型，必要时可征求产业、投资部门意见。鼓励地方自然资源主管部门研究制定城乡规划用地分类与土地利用现状分类对照表，经批准后统一执行。</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土资规〔2015〕5号文件的规定，新产业新业态发展中工业用地、科教用地兼容该文件规定的用途设施（不包括商品住宅）建筑面积不超过15％的，仍按工业、科教用途管理。其他情形下，同一宗土地上兼容两种以上用途的，应确定主用途并依据主用途确定供应方式；主用途可以依据建筑面积占比确定，也可以依据功能的重要性确定，确定主用途的结论和理由应当写入供地方案，经批准后实施。</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第十二条（配套设施建设纳入土地供应条件的情形）依据《国务院办公厅关于推进养老服务发展的意见》（国办发〔2019〕5号）、《国务院</w:t>
      </w:r>
      <w:r w:rsidRPr="00B1020C">
        <w:rPr>
          <w:rFonts w:ascii="微软雅黑" w:eastAsia="微软雅黑" w:hAnsi="微软雅黑" w:cs="宋体" w:hint="eastAsia"/>
          <w:color w:val="000000"/>
          <w:kern w:val="0"/>
          <w:sz w:val="27"/>
          <w:szCs w:val="27"/>
        </w:rPr>
        <w:lastRenderedPageBreak/>
        <w:t>办公厅转发卫生计生委等部门关于推进医疗卫生与养老服务相结合指导意见的通知》（国办发〔2015〕84号）、《国务院办公厅关于加快新能源汽车推广应用的指导意见》（国办发〔2014〕35号）、国土资规〔2015〕5号、国土资规〔2015〕10号、《关于支持电影发展若干经济政策的通知》（财教〔2014〕56号）等的规定，对新能源汽车充电设施、无线通讯基站、分布式光伏发电设施、社区居家养老（医疗、体育、文化）服务设施、电影院（影厅）、旅游厕所等布点分散、单体规模小、对其他建筑物构筑物有密切依附关系的产业配套设施，允许在新供其他建设项目用地时，将其建设要求纳入供地条件。</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市、县自然资源主管部门应主动告知相关部门上述配建政策，对相关部门提出的配建和建成后资产移交及运营管理要求，市、县自然资源主管部门经研究认定符合控制性详细规划和用地标准，且不影响供应环节的公平、公正竞争的，可依法先将配建要求纳入规划条件后，再行纳入供地条件。</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三条（支持土地复合利用的情形）依据国土资规〔2015〕5号文件的规定，鼓励开发区、产业集聚区规划建设多层工业厂房、国家大学科技园、科技企业孵化器，供中小企业进行生产、研发、设计、经营多功能复合利用。标准厂房用地按工业用途管理，国家大学科技园、科技企</w:t>
      </w:r>
      <w:r w:rsidRPr="00B1020C">
        <w:rPr>
          <w:rFonts w:ascii="微软雅黑" w:eastAsia="微软雅黑" w:hAnsi="微软雅黑" w:cs="宋体" w:hint="eastAsia"/>
          <w:color w:val="000000"/>
          <w:kern w:val="0"/>
          <w:sz w:val="27"/>
          <w:szCs w:val="27"/>
        </w:rPr>
        <w:lastRenderedPageBreak/>
        <w:t>业孵化器实行只租不售、租金管制、租户审核、转让限制的，其用地可按科教用途管理。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四条（办理划拨国有建设用地使用权）地方各级自然资源主管部门在执行《划拨用地目录》和有关产业用地政策时，应当保持本地区划拨国有建设用地使用权供应要求、程序、划拨价款标准和权能的一致性，不得对民间投资、外商投资项目区别对待。</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市、县自然资源主管部门划拨国有建设用地使用权时，在符合国土空间规划的前提下，可以建设项目审批、核准、备案文件记载的项目建设内容为依据判断是否符合《划拨用地目录》，不得以建设单位投资来源为民间投资、外商投资或政府和社会资本合作等为由限制申请划拨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对于《划拨用地目录》明确要求“非营利性”或“公益性”的建设用地项目，自然资源主管部门方可要求建设单位提供拟使用土地者的非营利性质证明文件，包括但不限于民办非企业单位登记证书、社会服务机构登记证书和国务院文件、行业主管部门文件等规定的审查意见、初审意见等，但不得对《划拨用地目录》未明确要求“非营利性”或“公益性”的建设用地项目提出同等要求。</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依据《关于优化社会办医疗机构跨部门审批工作的通知》（发改社会〔2018〕1147号）的规定，社会力量申请划拨国有建设用地用于建设非营利性医疗机构的，因尚不能完成医疗机构执业登记、社会服务机构</w:t>
      </w:r>
      <w:r w:rsidRPr="00B1020C">
        <w:rPr>
          <w:rFonts w:ascii="微软雅黑" w:eastAsia="微软雅黑" w:hAnsi="微软雅黑" w:cs="宋体" w:hint="eastAsia"/>
          <w:color w:val="000000"/>
          <w:kern w:val="0"/>
          <w:sz w:val="27"/>
          <w:szCs w:val="27"/>
        </w:rPr>
        <w:lastRenderedPageBreak/>
        <w:t>登记，自然资源、卫生健康、民政、中医药主管部门要协调落实划拨用地相关政策。民政部门对除经营场所外的相关资质作初步审查后，可向自然资源主管部门提供有条件的初审意见。自然资源主管部门可将民政部门的意见作为参考依据，按法定程序受理划拨用地申请。</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土资源部关于贯彻落实&lt;国务院关于促进节约集约用地的通知&gt;的通知》（国土资发〔2008〕16号）的规定，市、县自然资源主管部门在受理划拨用地申请、发放划拨用地决定书后要及时向社会公示建设项目划拨用地相关信息。</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五条（办理协议出让国有建设用地使用权）原划拨、承租国有建设用地使用权人申请办理协议出让，以及划拨国有建设用地使用权转让申请办理协议出让的，除划拨决定书、租赁合同、法律、法规、行政规定等明确应当收回国有建设用地使用权重新公开出让的外，经依法批准，可采取协议方式出让。</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以长期租赁方式提供各种用途的国有建设用地，符合《协议出让国有土地使用权规定》的可采取协议方式，参照以协议方式出让国有建设用地使用权的规定办理。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依据体经字〔2016〕646号文件的规定，对非营利性的冰雪运动项目专业比赛和专业训练场（馆）及配套设施，不符合划拨用地目录的，可以协议方式供地。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第十六条（以长期租赁、先租后让、租让结合、弹性年期方式供应国有建设用地使用权）产业用地可以采取长期租赁、先租后让、租让结合、弹性年期方式供应。长期租赁，是指整宗土地在整个合同期内均以租赁方式使用。先租后让，是指供地方先行以租赁方式提供用地，承租方投资产业用地项目达到约定条件后再转为出让的供应方式。租让结合，是指供地方先行以租赁方式提供用地，承租方投资产业用地项目达到约定条件后再将部分用地保持租赁、部分用地转为出让的供应方式。弹性年期，是指整宗土地以低于对应用途国有建设用地使用权出让法定最高年限的使用年期出让的供应方式。</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以长期租赁方式使用土地的，应按照《规范国有土地租赁若干意见》（国土资发〔1999〕222号）的规定执行，租赁期限不得超过20年。以租让结合方式使用土地的，租赁部分单次签约时限不得超过20年，可以续签租赁合同。</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法必须以招标拍卖挂牌方式出让国有建设用地使用权的土地实行先租后让、租让结合的，招标拍卖挂牌程序可在租赁供应时实施，在承租方使用租赁土地达到合同约定条件后需办理出让手续时，可采取协议方式出让。</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地方自然资源主管部门可以根据需要商相关产业主管部门，制定本地区具体适用长期租赁、先租后让、租让结合、弹性年期供应方式的指导目录和管理规定。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七条（以作价出资（入股）方式供应国有建设用地使用权）国有建设用地使用权作价出资（入股）是指国家以一定年期的国有土地使用权作价，作为出资投入改组后的新设企业，该土地使用权由新设企业持有，可以依照土地管理法律、法规关于出让土地使用权的规定转让、出租、抵押。</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符合下列规定的，国有建设用地使用权可采取作价出资（入股）方式供应：</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一）依据《国务院办公厅关于加强鲜活农产品流通体系建设的意见》（国办发〔2011〕59号）的规定，政府投资建设不以盈利为目的、具有公益性质的农产品批发市场，可按作价出资（入股）方式办理用地手续，但禁止改变用途和性质。</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二）依据《关于扩大国有土地有偿使用范围的意见》（国土资规〔2016〕20号）的规定，对可以使用划拨土地的能源、环境保护、保障性安居工程、养老、教育、文化、体育及供水、燃气供应、供热设施等项目，除可按划拨方式供应土地外，鼓励以出让、租赁方式供应土地，支持市、县政府以国有建设用地使用权作价出资或者入股的方式提供土地，与社</w:t>
      </w:r>
      <w:r w:rsidRPr="00B1020C">
        <w:rPr>
          <w:rFonts w:ascii="微软雅黑" w:eastAsia="微软雅黑" w:hAnsi="微软雅黑" w:cs="宋体" w:hint="eastAsia"/>
          <w:color w:val="000000"/>
          <w:kern w:val="0"/>
          <w:sz w:val="27"/>
          <w:szCs w:val="27"/>
        </w:rPr>
        <w:lastRenderedPageBreak/>
        <w:t>会资本共同投资建设。支持各地以土地使用权作价出资或者入股方式供应标准厂房、科技孵化器用地。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（三）国有企业原使用的生产经营性划拨土地使用权，符合国家有关行业、企业类型和改革需要的，可采用作价出资（入股）方式进行有偿使用。</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各地以作价出资（入股）方式供应土地使用权时，可参照出让程序，由省（市、县）人民政府自然资源主管部门会同城市建设、房产管理部门共同拟定方案，报经同级人民政府批准后，由省（市、县）人民政府自然资源主管部门实施。</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自然资源主管部门在办理以作价出资（入股）方式供应国有建设用地使用权时，应当依据《企业国有资产法》提请本级人民政府授权特定机构履行出资人职责。</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八条（企业转型涉及的用地）依据《国务院关于深化流通体制改革加快流通产业发展的意见》（国发〔2012〕39号）、《国务院办公厅关于促进内贸流通健康发展的若干意见》（国办发〔2014〕51号）、《国务院办公厅关于推进城区老工业区搬迁改造的指导意见》（国办发〔2014〕9号）、《关于支持钢铁煤炭行业化解过剩产能实现脱困发展的意见》（国土资规〔2016〕3号）等的规定,对旧城区改建需异地搬迁改造的城区商品批发市场等流通业用地、工业用地，在收回原国有建</w:t>
      </w:r>
      <w:r w:rsidRPr="00B1020C">
        <w:rPr>
          <w:rFonts w:ascii="微软雅黑" w:eastAsia="微软雅黑" w:hAnsi="微软雅黑" w:cs="宋体" w:hint="eastAsia"/>
          <w:color w:val="000000"/>
          <w:kern w:val="0"/>
          <w:sz w:val="27"/>
          <w:szCs w:val="27"/>
        </w:rPr>
        <w:lastRenderedPageBreak/>
        <w:t>设用地使用权后，经批准可以协议出让方式为原土地使用权人安排用地，有土地使用标准要求的，应按标准安排同类用途用地。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务院办公厅关于印发文化体制改革中经营性文化事业单位转制为企业和进一步支持文化企业发展两个规定的通知》（国办发〔2018〕124号）的规定，经营性文化事业单位转制涉及的原划拨土地，转制后符合《划拨用地目录》的，可继续以划拨方式使用；不符合《划拨用地目录》的，应当依法实行有偿使用。</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十九条（鼓励地下空间开发）依据《关于进一步完善城市停车场规划建设及用地政策的通知》（建城〔2016〕193号）的规定，通过分层规划，利用地下空间建设公共停车场的，地块用地规划性质为相应地块性质兼容社会停车场用地。对新建建筑充分利用地下空间，超过停车配建标准建设地下停车场，并作为公共停车场向社会开放的超配部分，符合规划的，可不计收土地价款。</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条（过渡期政策）对于产业用地政策中明确，利用存量房产、土地资源发展国家支持产业、行业的，可享受在一定年期内不改变用地主体和规划条件的过渡期支持政策的情形，现有建设用地过渡期支持政策以5年为限，过渡期满及涉及转让需办理改变用地主体和规划条件的手续时，除符合《划拨用地目录》的可保留划拨外，其余可以协议方式办</w:t>
      </w:r>
      <w:r w:rsidRPr="00B1020C">
        <w:rPr>
          <w:rFonts w:ascii="微软雅黑" w:eastAsia="微软雅黑" w:hAnsi="微软雅黑" w:cs="宋体" w:hint="eastAsia"/>
          <w:color w:val="000000"/>
          <w:kern w:val="0"/>
          <w:sz w:val="27"/>
          <w:szCs w:val="27"/>
        </w:rPr>
        <w:lastRenderedPageBreak/>
        <w:t>理，但法律、法规、行政规定等明确规定及国有建设用地划拨决定书、租赁合同等规定或约定应当收回土地使用权重新出让的除外。</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产业用地政策对“暂不变更”的时限没有明确规定的，时限及后续管理可参照国土资规〔2015〕5号文件执行，或由地方自然资源主管部门会同相关部门制定实施细则，但时限起算时点应在设定过渡期政策相关文件有效期内。</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自然资源主管部门应当做好相关起算时点和过渡期时间跨度的备案管理，过渡期临近结束时，应当提前通知存量房产、土地资源的使用方，掌握其继续使用房产、土地资源的意愿，做好政策服务。期满及涉及转让需以协议方式办理相关用地手续的，按《协议出让国有土地使用权规定》和《协议出让国有土地使用权规范（试行）》办理。</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一条（土地价格评估）依据《国有建设用地使用权出让地价评估技术规范》（国土资厅发〔2018〕4号）的规定，政府在供应产业用地前应依据土地估价结果和产业政策综合确定底价。产业用地价格评估应遵循出让地价评估技术规范，至少选择两种方法，且须包括收益还原法、市场比较法、剩余法中的一种方法，以及成本逼近法、公示地价系数修正法中的一种方法。</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对于存在可比交易实例的，宜首选市场比较法评估。对于缺乏市场交易的，可从同类产业的客观运营收益中剥离出土地收益，通过收益还原法</w:t>
      </w:r>
      <w:r w:rsidRPr="00B1020C">
        <w:rPr>
          <w:rFonts w:ascii="微软雅黑" w:eastAsia="微软雅黑" w:hAnsi="微软雅黑" w:cs="宋体" w:hint="eastAsia"/>
          <w:color w:val="000000"/>
          <w:kern w:val="0"/>
          <w:sz w:val="27"/>
          <w:szCs w:val="27"/>
        </w:rPr>
        <w:lastRenderedPageBreak/>
        <w:t>评估地价。对于尚无明确收益资料的新兴产业用地，可通过相同或类似产业的投资分析资料等分析预测其正常收益，合理分配评估方法权重确定评估结果。对于国家予以政策扶持的产业类型，应遵循区分市场定价与政策优惠的原则，评估该类用地的正常市场价格后，综合考虑产业政策予以修正，确定基于相关政策约束下的参考价格。</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二条（土地供应价格的确定）各省（区、市）确定的优先发展产业且用地集约的工业项目，以农、林、牧、渔业产品初加工为主的工业项目，在确定土地出让底价时可按不低于所在地土地等别相对应《全国工业用地出让最低价标准》的70％执行。按比例计算后低于该项目实际土地取得成本、土地前期开发成本和按规定应收取的相关费用之和的，应按不低于实际各项成本费用之和的原则确定出让底价。旅游相关建设项目中的人造景观用地应根据具体行业市场经营情况，客观评估确定供应底价。</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务院办公厅关于促进物流业健康发展政策措施的意见》（国办发〔2011〕38号）的规定，农产品批发市场用地作为经营性商业用地，应严格按照规划合理布局，土地招拍挂出让前，所在区域有工业用地交易地价的，可以参照市场地价水平、所在区域基准地价和工业用地最低价标准等确定出让底价。</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依据体经字〔2016〕646号文件的规定，在符合生态环境保护要求和相关规划的前提下，对使用荒山、荒地、荒滩及石漠化土地建设的冰雪项目，出让底价可按不低于土地取得成本、土地前期开发成本和按规定应收取的相关费用之和的原则确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依据发改综合〔2018〕1465号文件的规定，对使用“四荒地”及石漠化、边远海岛建设的乡村旅游项目，出让底价可按不低于土地取得成本、土地前期开发成本和按规定应收取相关费用之和的原则确定。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三条（使用集体建设用地的情形）产业发展允许依法依规使用集体建设用地，农村土地制度改革试点地区的集体经营性建设用地用于相关产业发展的按照试点政策规定执行。根据国务院及相关部门政策规定，符合下列情形的产业用地，可以使用集体建设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（一）依据国办发〔2019〕5号文件、《国务院办公厅关于全面放开养老服务市场提升养老服务质量的若干意见》（国办发〔2016〕91号）等的规定，养老机构可依法依规使用农村集体建设用地发展养老服务设施。</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（二）依据《国务院办公厅关于支持返乡下乡人员创业创新促进农村一二三产业融合发展的意见》（国办发〔2016〕84号）的规定，各省（区、市）可以根据本地实际，制定管理办法，支持返乡下乡人员依托自有和</w:t>
      </w:r>
      <w:r w:rsidRPr="00B1020C">
        <w:rPr>
          <w:rFonts w:ascii="微软雅黑" w:eastAsia="微软雅黑" w:hAnsi="微软雅黑" w:cs="宋体" w:hint="eastAsia"/>
          <w:color w:val="000000"/>
          <w:kern w:val="0"/>
          <w:sz w:val="27"/>
          <w:szCs w:val="27"/>
        </w:rPr>
        <w:lastRenderedPageBreak/>
        <w:t>闲置农房院落发展农家乐。在符合农村宅基地管理规定和相关规划的前提下，允许返乡下乡人员和当地农民合作改建自住房。</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三）依据《关于深入推进农业供给侧结构性改革做好农村产业融合发展用地保障的通知》（国土资规〔2017〕12号）的规定，在充分保障农民宅基地用益物权、防止外部资本侵占控制的前提下，探索农村集体经济组织以出租、合作等方式盘活利用空闲农房及宅基地，按照规划要求和用地标准，改造建设民宿民俗、创意办公、休闲农业、乡村旅游等农业农村体验活动场所。</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（四）依据发改综合〔2018〕1465号的规定，农村集体经济组织可以依法使用自有建设用地自办或以土地使用权入股、联营等方式与其他单位和个人共同参与乡村旅游基础设施建设。</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五）依据《关于促进乡村旅游可持续发展的指导意见》（文旅资源发〔2018〕98号）的规定，鼓励通过流转等方式取得属于文物建筑的农民房屋及宅基地使用权，统一保护开发利用。在充分保障农民宅基地用益物权的前提下，探索农村集体经济组织以出租、入股、合作等方式盘活利用闲置宅基地和农房，按照规划要求和用地标准，改造建设乡村旅游接待和活动场所。</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（六）依据旅发〔2016〕148号文件的规定，选址在土地利用总体规划确定的城镇规划区外的自驾车旅居车营地，其公共停车场、各功能区</w:t>
      </w:r>
      <w:r w:rsidRPr="00B1020C">
        <w:rPr>
          <w:rFonts w:ascii="微软雅黑" w:eastAsia="微软雅黑" w:hAnsi="微软雅黑" w:cs="宋体" w:hint="eastAsia"/>
          <w:color w:val="000000"/>
          <w:kern w:val="0"/>
          <w:sz w:val="27"/>
          <w:szCs w:val="27"/>
        </w:rPr>
        <w:lastRenderedPageBreak/>
        <w:t>之间的连接道路、商业服务区、车辆设备维修及医疗服务保障区、废弃物收纳与处理区等功能区可与农村公益事业合并实施，依法使用集体建设用地。</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第四章 产业用地管理要求</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 </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第二十四条（国家支持发展产业项目的认定）落实产业用地政策时，对相关项目是否属于国家支持发展产业难以确认的，市、县自然资源主管部门应会商产业主管部门，对项目性质予以认定。</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产业主管部门能够就上述事项提供文件依据的，市、县自然资源主管部门应依据文件、按相关产业用地政策执行。产业主管部门不能就上述事项提供相应文件的，市、县自然资源主管部门可在与产业主管部门商议达成共识的基础上，共同提出对项目用地适用政策的建议，报请有批准权的人民政府批准后实施。</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五条（土地供应前置条件）依据国土资规〔2015〕5号文件的规定，对政策允许将产业类型、生产技术、产业标准、产品品质要求作为土地供应前置条件的，设置供应前置条件时，市、县自然资源主管部门应当商请提出供应前置条件的部门，书面明确设置土地供应前置条件的理由或必要性、适用要求、具体内容表述及条件履约监管主体、监管措</w:t>
      </w:r>
      <w:r w:rsidRPr="00B1020C">
        <w:rPr>
          <w:rFonts w:ascii="微软雅黑" w:eastAsia="微软雅黑" w:hAnsi="微软雅黑" w:cs="宋体" w:hint="eastAsia"/>
          <w:color w:val="000000"/>
          <w:kern w:val="0"/>
          <w:sz w:val="27"/>
          <w:szCs w:val="27"/>
        </w:rPr>
        <w:lastRenderedPageBreak/>
        <w:t>施、违约处理方式等。市、县自然资源主管部门认为相关前置条件不影响公平、公正竞争的，可以予以设置。在制定供地方案和签署供地文件时，除将相关内容写入外，还应当将提出前置条件部门出具的上述书面文件作为附件一并收入，并在向土地供应集体决策机构汇报时专门作出说明。</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市、县自然资源主管部门应会同相关部门落实国土资规〔2015〕5号文件将项目用地产业发展承诺书作为签订土地供应合同前提条件的规定，提醒提出关联条件部门监督承诺书履行情况。</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六条（限制改变用途与分割转让及探索抵押融资）对于落实产业用地政策供应的宗地，相关规范性文件有限制改变用途、限制转让或分割转让等规定的，原则上应当将限制要求写入划拨决定书或有偿使用合同，在分割转让审批中予以落实。其中，对经批准的用地，相关规范性文件规定该类用地禁止改变用途、容积率等土地使用条件用于其它建设的，自然资源主管部门要予以严格监管。</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依据国办发〔2019〕5号文件的规定，探索允许营利性养老机构以有偿取得的土地、设施等资产进行抵押融资。</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依据国办发〔2017〕21号文件的规定，探索允许营利性的养老、教育等社会领域机构以有偿取得的土地、设施等财产进行抵押融资。</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lastRenderedPageBreak/>
        <w:t>第二十七条（卷宗与台账管理）市、县自然资源主管部门要加强产业用地政策实施的服务和监管，适用的产业用地政策文件应当纳入土地使用权供应档案卷宗长期妥善保存。根据需要建立产业用地政策适用项目台账，记录项目基本情况、适用产业用地政策、供后投资建设情况、过渡期起始时间及期满处理情况等。</w:t>
      </w:r>
    </w:p>
    <w:p w:rsidR="00B1020C" w:rsidRPr="00B1020C" w:rsidRDefault="00B1020C" w:rsidP="00B1020C">
      <w:pPr>
        <w:widowControl/>
        <w:shd w:val="clear" w:color="auto" w:fill="FFFFFF"/>
        <w:spacing w:line="720" w:lineRule="atLeast"/>
        <w:jc w:val="left"/>
        <w:rPr>
          <w:rFonts w:ascii="微软雅黑" w:eastAsia="微软雅黑" w:hAnsi="微软雅黑" w:cs="宋体"/>
          <w:color w:val="000000"/>
          <w:kern w:val="0"/>
          <w:sz w:val="27"/>
          <w:szCs w:val="27"/>
        </w:rPr>
      </w:pPr>
      <w:r w:rsidRPr="00B1020C">
        <w:rPr>
          <w:rFonts w:ascii="微软雅黑" w:eastAsia="微软雅黑" w:hAnsi="微软雅黑" w:cs="宋体" w:hint="eastAsia"/>
          <w:color w:val="000000"/>
          <w:kern w:val="0"/>
          <w:sz w:val="27"/>
          <w:szCs w:val="27"/>
        </w:rPr>
        <w:t>第二十八条（落实批后监管责任）市、县自然资源主管部门要加强与产业主管部门的协调配合，依据土地供应合同、划拨决定书、产业主管部门出具的相关文件、前置条件文件、项目用地产业发展承诺书等约定的用地条件、用地责任、监管责任，强化用地供后联合监管，重大事项要及时向本级人民政府或相关机构报告。</w:t>
      </w:r>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Pr>
        <w:pStyle w:val="3"/>
        <w:jc w:val="center"/>
        <w:rPr>
          <w:sz w:val="30"/>
          <w:szCs w:val="30"/>
        </w:rPr>
      </w:pPr>
      <w:bookmarkStart w:id="91" w:name="_Toc12864242"/>
      <w:r w:rsidRPr="00B1020C">
        <w:rPr>
          <w:rFonts w:hint="eastAsia"/>
          <w:sz w:val="30"/>
          <w:szCs w:val="30"/>
        </w:rPr>
        <w:lastRenderedPageBreak/>
        <w:t>自然资源部办公厅关于进一步规范储备土地抵押融资加快批而未供土地处置有关问题的通知（自然资办发〔</w:t>
      </w:r>
      <w:r w:rsidRPr="00B1020C">
        <w:rPr>
          <w:rFonts w:hint="eastAsia"/>
          <w:sz w:val="30"/>
          <w:szCs w:val="30"/>
        </w:rPr>
        <w:t>2019</w:t>
      </w:r>
      <w:r w:rsidRPr="00B1020C">
        <w:rPr>
          <w:rFonts w:hint="eastAsia"/>
          <w:sz w:val="30"/>
          <w:szCs w:val="30"/>
        </w:rPr>
        <w:t>〕</w:t>
      </w:r>
      <w:r w:rsidRPr="00B1020C">
        <w:rPr>
          <w:rFonts w:hint="eastAsia"/>
          <w:sz w:val="30"/>
          <w:szCs w:val="30"/>
        </w:rPr>
        <w:t xml:space="preserve">3 </w:t>
      </w:r>
      <w:r w:rsidRPr="00B1020C">
        <w:rPr>
          <w:rFonts w:hint="eastAsia"/>
          <w:sz w:val="30"/>
          <w:szCs w:val="30"/>
        </w:rPr>
        <w:t>号）</w:t>
      </w:r>
      <w:bookmarkEnd w:id="91"/>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各省、自治区、直辖市自然资源主管部门，新疆生产建设兵团自然资源主管部门，部有关直属单位，部机关有关司局，各派驻地方的国家自然资源督察局：</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为更好实施建设用地“增存挂钩”机制，加快批而未供土地处置，严禁新增以政府储备土地抵押融资行为，加快存量抵押储备土地依法解押并形成合理有效供地，现就有关问题通知如下。</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一、严禁以政府储备土地违规融资。《关于规范土地储备和资金管理等相关问题的通知》（财综〔2016〕4号，以下简称“财综4号文”）明确规定，自2016年1月1日起，各地不得再向银行业金融机构举借土地储备贷款。土地储备机构不得在预算之外违法违规举借债务，不得违法为任何单位和个人的债务以任何方式提供担保。不动产登记机构不得为储备土地办理抵押登记。但据《关于2018年上半年国家土地督察工作情况的报告》（自然资发〔2018〕66号）反映：“2016年1月1日后违规以储备土地抵押融资，涉及473宗，抵押土地面积4786.07公顷（7.2万亩），融资金额716.18亿元。”为此，必须重申，各地要严格执行“财综4号文”的有关规定，坚决杜绝以政府储备土地违规抵押融资。</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二、严禁将储备土地作为资产注入国有企业。土地储备工作只能由纳入名录管理的土地储备机构承担，其他机构一律不得从事土地储备工作。未经依法供地，不得以政府会议纪要、公函等形式将政府收回、收</w:t>
      </w:r>
      <w:r w:rsidRPr="00B1020C">
        <w:rPr>
          <w:rFonts w:ascii="微软雅黑" w:eastAsia="微软雅黑" w:hAnsi="微软雅黑" w:cs="宋体" w:hint="eastAsia"/>
          <w:color w:val="333333"/>
          <w:kern w:val="0"/>
          <w:sz w:val="27"/>
          <w:szCs w:val="27"/>
        </w:rPr>
        <w:lastRenderedPageBreak/>
        <w:t>购、征收的土地直接确定给政府平台公司或其他企事业单位，不得将土地储备机构名下的土地直接划转给政府平台公司、国有企业或其他企事业单位。不动产登记机构不得办理相应的首次登记或转移登记。</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三、妥善处理存量土地储备贷款，促进依法解押并合理供应。对于尚未偿还的存量土地储备贷款，包括土地储备机构的贷款和非储备机构以储备土地为担保的贷款，市、县自然资源主管部门要建立台账，逐一提出处置建议报同级政府，并积极配合财政、金融监管等部门加快处置和消化，避免储备土地因抵押而不能供应。确有必要的，可按照党中央、国务院关于防范化解地方政府隐性债务风险的精神和有关要求，商有关部门统筹偿还相关债务或依法置换抵押物。对于“财综4号文”出台前已抵押的储备土地，可在与有关部门、金融机构协商一致的情况下，先行组织土地供应，土地出让后统筹偿还贷款，切实化解债务风险，促进批而未供土地处置和开发利用。各省级自然资源主管部门应汇总辖区内各市、县台账及处置建议，于2019年4月底前报部备案，同时抄报各派驻地方的国家自然资源督察局。</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四、加强土地储备信息报送。各地土地储备机构要严格按要求在部土地储备信息系统中填报相关信息，其中，储备土地抵押处置情况将作为2019年度机构名录更新的重要依据。部将进一步完善土地储备信息系统，加强与财政、金融监管等部门的数据共享与联动，逐步建立储备土地来源、入库、出库全流程监测监管机制，实现土地项目、入库土地统一编码，并与“农转用”批文、划拨决定书或有偿使用合同等关联。从2019年起，相关统计信息、专项债券额度分配、机构评级考核等均</w:t>
      </w:r>
      <w:r w:rsidRPr="00B1020C">
        <w:rPr>
          <w:rFonts w:ascii="微软雅黑" w:eastAsia="微软雅黑" w:hAnsi="微软雅黑" w:cs="宋体" w:hint="eastAsia"/>
          <w:color w:val="333333"/>
          <w:kern w:val="0"/>
          <w:sz w:val="27"/>
          <w:szCs w:val="27"/>
        </w:rPr>
        <w:lastRenderedPageBreak/>
        <w:t>以系统数据为准，对于不报、迟报、瞒报、漏报、错报的，部将建立预警通报机制。各级自然资源主管部门要加强对土地储备机构系统填报的指导和监督，适时对数据进行核查，确保及时、准确掌握相关情况，并将土地储备情况纳入地方政府向同级人大报告的全民所有自然资源资产情况中。</w:t>
      </w:r>
    </w:p>
    <w:p w:rsidR="00B1020C" w:rsidRPr="00B1020C" w:rsidRDefault="00B1020C" w:rsidP="00B1020C">
      <w:pPr>
        <w:widowControl/>
        <w:shd w:val="clear" w:color="auto" w:fill="FFFFFF"/>
        <w:spacing w:line="480" w:lineRule="atLeast"/>
        <w:jc w:val="left"/>
        <w:rPr>
          <w:rFonts w:ascii="微软雅黑" w:eastAsia="微软雅黑" w:hAnsi="微软雅黑" w:cs="宋体"/>
          <w:color w:val="333333"/>
          <w:kern w:val="0"/>
          <w:sz w:val="27"/>
          <w:szCs w:val="27"/>
        </w:rPr>
      </w:pPr>
      <w:r w:rsidRPr="00B1020C">
        <w:rPr>
          <w:rFonts w:ascii="微软雅黑" w:eastAsia="微软雅黑" w:hAnsi="微软雅黑" w:cs="宋体" w:hint="eastAsia"/>
          <w:color w:val="333333"/>
          <w:kern w:val="0"/>
          <w:sz w:val="27"/>
          <w:szCs w:val="27"/>
        </w:rPr>
        <w:t xml:space="preserve">　　本文件自下发之日起执行，有效期5年。</w:t>
      </w:r>
    </w:p>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B1020C" w:rsidP="00B1020C"/>
    <w:p w:rsidR="00B1020C" w:rsidRDefault="005E0922" w:rsidP="005E0922">
      <w:pPr>
        <w:pStyle w:val="3"/>
        <w:jc w:val="center"/>
        <w:rPr>
          <w:sz w:val="30"/>
          <w:szCs w:val="30"/>
        </w:rPr>
      </w:pPr>
      <w:bookmarkStart w:id="92" w:name="_Toc12864243"/>
      <w:r w:rsidRPr="005E0922">
        <w:rPr>
          <w:rFonts w:hint="eastAsia"/>
          <w:sz w:val="30"/>
          <w:szCs w:val="30"/>
        </w:rPr>
        <w:lastRenderedPageBreak/>
        <w:t>自然资源部办公厅关于批而未供土地处置有关问题的通知（自然资办发〔</w:t>
      </w:r>
      <w:r w:rsidRPr="005E0922">
        <w:rPr>
          <w:rFonts w:hint="eastAsia"/>
          <w:sz w:val="30"/>
          <w:szCs w:val="30"/>
        </w:rPr>
        <w:t>2018</w:t>
      </w:r>
      <w:r w:rsidRPr="005E0922">
        <w:rPr>
          <w:rFonts w:hint="eastAsia"/>
          <w:sz w:val="30"/>
          <w:szCs w:val="30"/>
        </w:rPr>
        <w:t>〕</w:t>
      </w:r>
      <w:r w:rsidRPr="005E0922">
        <w:rPr>
          <w:rFonts w:hint="eastAsia"/>
          <w:sz w:val="30"/>
          <w:szCs w:val="30"/>
        </w:rPr>
        <w:t>49</w:t>
      </w:r>
      <w:r w:rsidRPr="005E0922">
        <w:rPr>
          <w:rFonts w:hint="eastAsia"/>
          <w:sz w:val="30"/>
          <w:szCs w:val="30"/>
        </w:rPr>
        <w:t>号）</w:t>
      </w:r>
      <w:bookmarkEnd w:id="92"/>
    </w:p>
    <w:p w:rsidR="005E0922" w:rsidRPr="005E0922" w:rsidRDefault="005E0922" w:rsidP="005E0922">
      <w:pPr>
        <w:widowControl/>
        <w:shd w:val="clear" w:color="auto" w:fill="FFFFFF"/>
        <w:spacing w:before="225"/>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各省、自治区、直辖市自然资源主管部门，新疆生产建设兵团自然资源主管部门，各派驻地方的国家自然资源督察局：</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为更好实施建设用地“增存挂钩”机制，加快推进批而未供土地处置工作，现就有关问题通知如下：</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一、农用地转用或土地征收经依法批准后，未公告补偿安置方案的，可认定为未实施具体征地行为。对已公告补偿安置方案，因相关规划、政策调整，不具备供地条件的土地，在处理好有关补偿事宜后，可由市、县人民政府按相关规定，逐级报原批准机关申请撤回有关批准文件，原批准机关同意撤回的，批准文件不再执行。</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二、对国务院批准的城市建设用地，省（区、市）已批准实施方案的，因相关规划、政策调整等原因，部分已不具备供地条件的，可由市、县人民政府按相关规定，逐级报省级人民政府申请调整用地实施方案，并报自然资源部备案；未批准实施方案的，省级自然资源主管部门要加快组织报批工作，并及时报自然资源部备案。对省级人民政府批准的城市建设用地，需要用地调整的，由各省（区、市）规定。</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三、有关用地批准文件调整后，由省级自然资源主管部门负责及时变更备案信息，用地不再纳入批而未供土地统计。</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t>本文件自下发之日起执行，有效期五年。</w:t>
      </w:r>
    </w:p>
    <w:p w:rsidR="005E0922" w:rsidRPr="005E0922" w:rsidRDefault="005E0922" w:rsidP="005E0922">
      <w:pPr>
        <w:widowControl/>
        <w:shd w:val="clear" w:color="auto" w:fill="FFFFFF"/>
        <w:jc w:val="right"/>
        <w:rPr>
          <w:rFonts w:ascii="微软雅黑" w:eastAsia="微软雅黑" w:hAnsi="微软雅黑" w:cs="宋体"/>
          <w:color w:val="333333"/>
          <w:kern w:val="0"/>
          <w:sz w:val="27"/>
          <w:szCs w:val="27"/>
        </w:rPr>
      </w:pPr>
      <w:r w:rsidRPr="005E0922">
        <w:rPr>
          <w:rFonts w:ascii="微软雅黑" w:eastAsia="微软雅黑" w:hAnsi="微软雅黑" w:cs="宋体" w:hint="eastAsia"/>
          <w:color w:val="333333"/>
          <w:kern w:val="0"/>
          <w:sz w:val="27"/>
          <w:szCs w:val="27"/>
        </w:rPr>
        <w:lastRenderedPageBreak/>
        <w:t>自然资源部办公厅</w:t>
      </w:r>
      <w:r w:rsidRPr="005E0922">
        <w:rPr>
          <w:rFonts w:ascii="微软雅黑" w:eastAsia="微软雅黑" w:hAnsi="微软雅黑" w:cs="宋体" w:hint="eastAsia"/>
          <w:color w:val="333333"/>
          <w:kern w:val="0"/>
          <w:sz w:val="27"/>
          <w:szCs w:val="27"/>
        </w:rPr>
        <w:br/>
        <w:t>2018年12月6日</w:t>
      </w: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rPr>
          <w:rFonts w:ascii="微软雅黑" w:eastAsia="微软雅黑" w:hAnsi="微软雅黑" w:cs="宋体"/>
          <w:color w:val="333333"/>
          <w:kern w:val="0"/>
          <w:sz w:val="27"/>
          <w:szCs w:val="27"/>
        </w:rPr>
      </w:pPr>
    </w:p>
    <w:p w:rsidR="005E0922" w:rsidRDefault="005E0922" w:rsidP="005E0922">
      <w:pPr>
        <w:pStyle w:val="3"/>
        <w:jc w:val="center"/>
        <w:rPr>
          <w:sz w:val="30"/>
          <w:szCs w:val="30"/>
        </w:rPr>
      </w:pPr>
      <w:bookmarkStart w:id="93" w:name="_Toc12864244"/>
      <w:r w:rsidRPr="005E0922">
        <w:rPr>
          <w:rFonts w:hint="eastAsia"/>
          <w:sz w:val="30"/>
          <w:szCs w:val="30"/>
        </w:rPr>
        <w:lastRenderedPageBreak/>
        <w:t>土地储备管理办法（国土资规〔</w:t>
      </w:r>
      <w:r w:rsidRPr="005E0922">
        <w:rPr>
          <w:rFonts w:hint="eastAsia"/>
          <w:sz w:val="30"/>
          <w:szCs w:val="30"/>
        </w:rPr>
        <w:t>2017</w:t>
      </w:r>
      <w:r w:rsidRPr="005E0922">
        <w:rPr>
          <w:rFonts w:hint="eastAsia"/>
          <w:sz w:val="30"/>
          <w:szCs w:val="30"/>
        </w:rPr>
        <w:t>〕</w:t>
      </w:r>
      <w:r w:rsidRPr="005E0922">
        <w:rPr>
          <w:rFonts w:hint="eastAsia"/>
          <w:sz w:val="30"/>
          <w:szCs w:val="30"/>
        </w:rPr>
        <w:t>17</w:t>
      </w:r>
      <w:r w:rsidRPr="005E0922">
        <w:rPr>
          <w:rFonts w:hint="eastAsia"/>
          <w:sz w:val="30"/>
          <w:szCs w:val="30"/>
        </w:rPr>
        <w:t>号）</w:t>
      </w:r>
      <w:bookmarkEnd w:id="93"/>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各省、自治区、直辖市、副省级城市</w:t>
      </w:r>
      <w:hyperlink r:id="rId87" w:tgtFrame="_blank" w:history="1">
        <w:r w:rsidRPr="005E0922">
          <w:rPr>
            <w:rFonts w:hint="eastAsia"/>
            <w:color w:val="000000"/>
            <w:sz w:val="27"/>
            <w:szCs w:val="27"/>
          </w:rPr>
          <w:t>国土资源</w:t>
        </w:r>
      </w:hyperlink>
      <w:r w:rsidRPr="005E0922">
        <w:rPr>
          <w:rFonts w:ascii="微软雅黑" w:eastAsia="微软雅黑" w:hAnsi="微软雅黑" w:hint="eastAsia"/>
          <w:color w:val="000000"/>
          <w:sz w:val="27"/>
          <w:szCs w:val="27"/>
        </w:rPr>
        <w:t>主管部门、财政厅（局），新疆生产建设兵团国土资源局、财务局，中国人民银行上海总部、各分行、营业管理部、省会（首府）城市中心支行、副省级城市中心支行，各省、自治区、直辖市银监局：</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为加强和规范土地储备管理，根据相关法律法规和国务院有关文件的规定，国土资源部、财政部、中国人民银行、中国银行业监督管理委员会联合修订了《</w:t>
      </w:r>
      <w:r w:rsidRPr="005E0922">
        <w:rPr>
          <w:rFonts w:hint="eastAsia"/>
          <w:b/>
          <w:bCs/>
          <w:color w:val="000000"/>
          <w:sz w:val="27"/>
          <w:szCs w:val="27"/>
        </w:rPr>
        <w:t>土地储备管理办法</w:t>
      </w:r>
      <w:r w:rsidRPr="005E0922">
        <w:rPr>
          <w:rFonts w:ascii="微软雅黑" w:eastAsia="微软雅黑" w:hAnsi="微软雅黑" w:hint="eastAsia"/>
          <w:color w:val="000000"/>
          <w:sz w:val="27"/>
          <w:szCs w:val="27"/>
        </w:rPr>
        <w:t>》。现予印发，请遵照执行。</w:t>
      </w:r>
    </w:p>
    <w:p w:rsidR="005E0922" w:rsidRPr="005E0922" w:rsidRDefault="005E0922" w:rsidP="005E0922">
      <w:pPr>
        <w:pStyle w:val="a8"/>
        <w:shd w:val="clear" w:color="auto" w:fill="FFFFFF"/>
        <w:wordWrap w:val="0"/>
        <w:spacing w:before="0" w:beforeAutospacing="0" w:after="375" w:afterAutospacing="0" w:line="375" w:lineRule="atLeast"/>
        <w:jc w:val="center"/>
        <w:rPr>
          <w:rFonts w:ascii="微软雅黑" w:eastAsia="微软雅黑" w:hAnsi="微软雅黑"/>
          <w:color w:val="000000"/>
          <w:sz w:val="27"/>
          <w:szCs w:val="27"/>
        </w:rPr>
      </w:pP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国土资源部财政部中国人民银行</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中国银行业监督管理委员会</w:t>
      </w:r>
    </w:p>
    <w:p w:rsid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2018年1月3日</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土地储备管理办法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一、总体要求</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（一）为贯彻落实党的十九大精神，落实加强自然资源资产管理和防范风险的要求，进一步规范土地储备管理，增强政府对城乡统一</w:t>
      </w:r>
      <w:hyperlink r:id="rId88" w:tgtFrame="_blank" w:history="1">
        <w:r w:rsidRPr="005E0922">
          <w:rPr>
            <w:rFonts w:hint="eastAsia"/>
            <w:color w:val="000000"/>
            <w:sz w:val="27"/>
            <w:szCs w:val="27"/>
          </w:rPr>
          <w:t>建设用地</w:t>
        </w:r>
      </w:hyperlink>
      <w:r w:rsidRPr="005E0922">
        <w:rPr>
          <w:rFonts w:ascii="微软雅黑" w:eastAsia="微软雅黑" w:hAnsi="微软雅黑" w:hint="eastAsia"/>
          <w:color w:val="000000"/>
          <w:sz w:val="27"/>
          <w:szCs w:val="27"/>
        </w:rPr>
        <w:t>市场的调控和保障能力，促进土地资源的高效配置和合理利用，根据《国务院关于加强</w:t>
      </w:r>
      <w:hyperlink r:id="rId89" w:tgtFrame="_blank" w:history="1">
        <w:r w:rsidRPr="005E0922">
          <w:rPr>
            <w:rFonts w:hint="eastAsia"/>
            <w:color w:val="000000"/>
            <w:sz w:val="27"/>
            <w:szCs w:val="27"/>
          </w:rPr>
          <w:t>国有土地</w:t>
        </w:r>
      </w:hyperlink>
      <w:r w:rsidRPr="005E0922">
        <w:rPr>
          <w:rFonts w:ascii="微软雅黑" w:eastAsia="微软雅黑" w:hAnsi="微软雅黑" w:hint="eastAsia"/>
          <w:color w:val="000000"/>
          <w:sz w:val="27"/>
          <w:szCs w:val="27"/>
        </w:rPr>
        <w:t>资产管理的通知》（国发〔2001〕15号）、《国务院关于促进节约集约用地的通知》（国发〔2008〕3号）、《国务院关于加强地方政府性债务管理的意见》（国发〔2014〕43号）、《国务院办公厅关于规范国有</w:t>
      </w:r>
      <w:hyperlink r:id="rId90" w:tgtFrame="_blank" w:history="1">
        <w:r w:rsidRPr="005E0922">
          <w:rPr>
            <w:rFonts w:hint="eastAsia"/>
            <w:color w:val="000000"/>
            <w:sz w:val="27"/>
            <w:szCs w:val="27"/>
          </w:rPr>
          <w:t>土地使用权</w:t>
        </w:r>
      </w:hyperlink>
      <w:r w:rsidRPr="005E0922">
        <w:rPr>
          <w:rFonts w:ascii="微软雅黑" w:eastAsia="微软雅黑" w:hAnsi="微软雅黑" w:hint="eastAsia"/>
          <w:color w:val="000000"/>
          <w:sz w:val="27"/>
          <w:szCs w:val="27"/>
        </w:rPr>
        <w:t>出让收支管理的通知》（国办发〔2006〕100号），制定本办法。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土地储备是指县级（含）以上国土资源主管部门为调控土地市场、促进土地资源合理利用，依法取得土地，组织前期开发、储存以备供应的行为。土地储备工作统一归口国土资源主管部门管理，土地储备机构承担土地储备的具体实施工作。财政部门负责土地储备资金及形成资产的监管。</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三）土地储备机构应为县级（含）以上人民政府批准成立、具有独立的法人资格、隶属于所在行政区划的国土资源主管部门、承担本行政辖区内土地储备工作的事业单位。国土资源主管部门对土地储备机构实施名录制管理。市、县级国土资源主管部门应将符合规定的机构信息逐级上报至省级国土资源主管部门，经省级国土资源主管部门审核后报国土资源部，列入全国土地储备机构名录，并定期更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二、储备计划</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（四）各地应根据国民经济和社会发展规划、国土规划、</w:t>
      </w:r>
      <w:hyperlink r:id="rId91" w:tgtFrame="_blank" w:history="1">
        <w:r w:rsidRPr="005E0922">
          <w:rPr>
            <w:rFonts w:hint="eastAsia"/>
            <w:color w:val="000000"/>
            <w:sz w:val="27"/>
            <w:szCs w:val="27"/>
          </w:rPr>
          <w:t>土地利用</w:t>
        </w:r>
      </w:hyperlink>
      <w:r w:rsidRPr="005E0922">
        <w:rPr>
          <w:rFonts w:ascii="微软雅黑" w:eastAsia="微软雅黑" w:hAnsi="微软雅黑" w:hint="eastAsia"/>
          <w:color w:val="000000"/>
          <w:sz w:val="27"/>
          <w:szCs w:val="27"/>
        </w:rPr>
        <w:t>总体规划、城乡规划等，编制土地储备三年滚动计划，合理确定未来三年土地储备规模，对三年内可收储的土地资源，在总量、结构、布局、时序等方面做出统筹安排，优先储备空闲、低效利用等存量建设用地。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五）各地应根据城市建设发展和土地市场调控的需要，结合当地社会发展规划、土地储备三年滚动计划、年度土地供应计划、地方政府债务限额等因素，合理制定年度土地储备计划。年度土地储备计划内容应包括：</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1.上年度末储备土地结转情况（含上年度末的拟收储土地及入库储备土地的地块清单）；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2.年度新增储备土地计划（含当年新增拟收储土地和新增入库储备土地规模及地块清单）；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3.年度储备土地前期开发计划（含当年前期开发地块清单）；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4.年度储备土地供应计划（含当年拟供应地块清单）；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5.年度储备土地临时管护计划；</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6.年度土地储备资金需求总量。</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其中，拟收储土地，是指已纳入土地储备计划或经县级（含）以上人民政府批准，目前已启动收回、收购、征收等工作，但未取得完整产权的土地；入库储备土地，是指土地储备机构已取得完整产权，纳入储备土地库管理的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六）国土资源主管部门应会同财政部门于每年第三季度，组织编制完成下一年度土地储备计划，提交省级国土资源主管部门备案后，报同级人民政府批准。因土地市场调控政策变化或低效用地再开发等原因，确需调整年度土地储备计划的，每年中期可调整一次，按原审批程序备案、报批。</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三、入库储备标准</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（七）储备土地必须符合土地利用总体规划和城乡规划。存在污染、文物遗存、矿产压覆、洪涝隐患、地质灾害风险等情况的土地，在按照有关规定由相关单位完成核查、评估和治理之前，不得入库储备。</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（八）下列土地可以纳入储备范围：</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1.依法收回的国有土地；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2.收购的土地；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3.行使优先购买权取得的土地；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4.已办理农用地转用、征收批准手续并完成征收的土地；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5.其他依法取得的土地。</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入库储备土地必须是产权清晰的土地。土地储备机构应对土地取得方式及程序的合规性、经济补偿、土地权利（包括用益物权和担保物权）等情况进行审核，不得为了收储而强制征收土地。对于取得方式及程序不合规、补偿不到位、土地权属不清晰、应办理相关</w:t>
      </w:r>
      <w:hyperlink r:id="rId92" w:tgtFrame="_blank" w:history="1">
        <w:r w:rsidRPr="005E0922">
          <w:rPr>
            <w:rFonts w:hint="eastAsia"/>
            <w:color w:val="000000"/>
            <w:sz w:val="27"/>
            <w:szCs w:val="27"/>
          </w:rPr>
          <w:t>不动产登记</w:t>
        </w:r>
      </w:hyperlink>
      <w:r w:rsidRPr="005E0922">
        <w:rPr>
          <w:rFonts w:ascii="微软雅黑" w:eastAsia="微软雅黑" w:hAnsi="微软雅黑" w:hint="eastAsia"/>
          <w:color w:val="000000"/>
          <w:sz w:val="27"/>
          <w:szCs w:val="27"/>
        </w:rPr>
        <w:t>手续而尚未办理的土地，不得入库储备。</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（九）收购土地的补偿标准，由土地储备机构与土地使用权人根据</w:t>
      </w:r>
      <w:hyperlink r:id="rId93" w:tgtFrame="_blank" w:history="1">
        <w:r w:rsidRPr="005E0922">
          <w:rPr>
            <w:rFonts w:hint="eastAsia"/>
            <w:color w:val="000000"/>
            <w:sz w:val="27"/>
            <w:szCs w:val="27"/>
          </w:rPr>
          <w:t>土地评估</w:t>
        </w:r>
      </w:hyperlink>
      <w:r w:rsidRPr="005E0922">
        <w:rPr>
          <w:rFonts w:ascii="微软雅黑" w:eastAsia="微软雅黑" w:hAnsi="微软雅黑" w:hint="eastAsia"/>
          <w:color w:val="000000"/>
          <w:sz w:val="27"/>
          <w:szCs w:val="27"/>
        </w:rPr>
        <w:t>结果协商，经同级国土资源主管部门和财政部门确认，或地方法规规定的其他机构确认。</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（十）储备土地入库前，土地储备机构应向</w:t>
      </w:r>
      <w:hyperlink r:id="rId94" w:tgtFrame="_blank" w:history="1">
        <w:r w:rsidRPr="005E0922">
          <w:rPr>
            <w:rFonts w:hint="eastAsia"/>
            <w:color w:val="000000"/>
            <w:sz w:val="27"/>
            <w:szCs w:val="27"/>
          </w:rPr>
          <w:t>不动产</w:t>
        </w:r>
      </w:hyperlink>
      <w:r w:rsidRPr="005E0922">
        <w:rPr>
          <w:rFonts w:ascii="微软雅黑" w:eastAsia="微软雅黑" w:hAnsi="微软雅黑" w:hint="eastAsia"/>
          <w:color w:val="000000"/>
          <w:sz w:val="27"/>
          <w:szCs w:val="27"/>
        </w:rPr>
        <w:t>登记机构申请办理登记手续。储备</w:t>
      </w:r>
      <w:hyperlink r:id="rId95" w:tgtFrame="_blank" w:history="1">
        <w:r w:rsidRPr="005E0922">
          <w:rPr>
            <w:rFonts w:hint="eastAsia"/>
            <w:color w:val="000000"/>
            <w:sz w:val="27"/>
            <w:szCs w:val="27"/>
          </w:rPr>
          <w:t>土地登记</w:t>
        </w:r>
      </w:hyperlink>
      <w:r w:rsidRPr="005E0922">
        <w:rPr>
          <w:rFonts w:ascii="微软雅黑" w:eastAsia="微软雅黑" w:hAnsi="微软雅黑" w:hint="eastAsia"/>
          <w:color w:val="000000"/>
          <w:sz w:val="27"/>
          <w:szCs w:val="27"/>
        </w:rPr>
        <w:t>的使用权类型统一确定为“其他（政府储备）”，登记的用途应符合相关法律法规的规定。</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四、前期开发、管护与供应</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（十一）土地储备机构负责理清入库储备土地产权，评估入库储备土地的资产价值。</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（十二）土地储备机构应组织开展对储备土地必要的前期开发，为政府供应土地提供必要保障。</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储备土地的前期开发应按照该地块的规划，完成地块内的道路、供水、供电、供气、排水、通讯、围挡等基础设施建设，并进行土地平整，满足必要的“通平”要求。具体工程要按照有关规定，选择工程勘察、设计、施工和监理等单位进行建设。</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前期开发工程施工期间，土地储备机构应对工程实施监督管理。工程完成后，土地储备机构应按规定组织开展验收或委托专业机构进行验收，并按有关规定报所属国土资源主管部门备案。</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三）土地储备机构应对纳入储备的土地采取自行管护、委托管护、临时利用等方式进行管护；建立巡查制度，对侵害储备土地权利的行为要做到早发现、早制止、早处理。对储备土地的管护，可以由土地储备机构的内设机构负责，也可由土地储备机构按照相关规定选择管护单位。</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四）在储备土地未供应前，土地储备机构可将储备土地或连同地上建（构）筑物，通过出租、临时使用等方式加以利用。储备土地的临时利用，一般不超过两年，且不能影响土地供应。储备土地的临时利用应报同级国土资源主管部门同意。其中，在</w:t>
      </w:r>
      <w:hyperlink r:id="rId96" w:tgtFrame="_blank" w:history="1">
        <w:r w:rsidRPr="005E0922">
          <w:rPr>
            <w:rFonts w:hint="eastAsia"/>
            <w:color w:val="000000"/>
            <w:sz w:val="27"/>
            <w:szCs w:val="27"/>
          </w:rPr>
          <w:t>城市规划</w:t>
        </w:r>
      </w:hyperlink>
      <w:r w:rsidRPr="005E0922">
        <w:rPr>
          <w:rFonts w:ascii="微软雅黑" w:eastAsia="微软雅黑" w:hAnsi="微软雅黑" w:hint="eastAsia"/>
          <w:color w:val="000000"/>
          <w:sz w:val="27"/>
          <w:szCs w:val="27"/>
        </w:rPr>
        <w:t>区内储备土地的临时使用，需搭建建（构）筑物的，在报批前，应当先经城市规划行政主管部门同意，不得修建永久性建筑物。</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（十五）储备土地完成前期开发，并具备供应条件后，应纳入当地市、县土地供应计划，由市、县国土资源主管部门统一组织土地供应。</w:t>
      </w:r>
      <w:r w:rsidRPr="005E0922">
        <w:rPr>
          <w:rFonts w:ascii="微软雅黑" w:eastAsia="微软雅黑" w:hAnsi="微软雅黑" w:hint="eastAsia"/>
          <w:color w:val="000000"/>
          <w:sz w:val="27"/>
          <w:szCs w:val="27"/>
        </w:rPr>
        <w:lastRenderedPageBreak/>
        <w:t>供应已发证的储备土地之前，应收回并注销其不动产权证书及不动产登记证明，并在不动产登记簿中予以注销。</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五、资金管理</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（十六）土地储备资金收支管理严格执行财政部、国土资源部关于土地储备资金财务管理的规定。土地储备资金通过政府预算安排，实行专款专用。</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（十七）土地储备机构应当严格按照规定用途使用土地储备资金，不得挪用。土地储备机构所需的日常经费，纳入政府预算，与土地储备资金实行分账核算，不得相互混用。</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八）土地储备机构按规定编制土地储备资金收支项目预算，经同级国土资源主管部门审核，报同级财政部门审定后执行。年度终了，土地储备机构向同级财政部门报送土地储备资金收支项目决算，由同级财政部门审核或者由同级财政部门指定具有良好信誉、执业质量高的会计师事务所等相关中介机构进行审核。</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（十九）土地储备资金应当建立绩效评价制度，绩效评价结果作为财政部门安排年度土地储备资金收支项目预算的依据。</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（二十）土地储备专项债券资金管理执行财政部、国土资源部有关地方政府土地储备专项债券管理的规定。</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lastRenderedPageBreak/>
        <w:t>六、监管责任</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（二十一）信息化监管。国土资源部利用土地储备监测监管系统，监测监管土地储备机构业务开展情况。</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列入全国土地储备机构名录的机构应按要求在土地储备监测监管系统中填报储备土地、已供储备土地、储备土地资产存量和增量、储备资金收支、土地储备专项债券等相关信息，接受主管部门监督管理。土地储备机构应按相关法律法规和规范性文件开展工作，违反相关要求的，将被给予警示直至退出名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（二十二）部门分工监管。各级国土资源主管部门及财政部门应按照职责分工，互相配合，保证土地储备工作顺利开展。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市县级国土资源主管部门应制定相关管理办法，监管土地储备机构、业务运行、资产管理及资金使用，定期考核，加强对土地储备机构的管理与指导；及时核准上传土地储备机构在土地储备监测监管系统中的信息，审核调整土地储备计划及资金需求，并配合财政部门做好土地储备专项债券额度管理及发行等相关工作。</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省级国土资源主管部门负责制定本行政辖区内土地储备监管制度，对土地储备业务进行政策和业务指导，监管土地储备机构及本地区土地储备业务运行情况，审核土地储备机构名录、土地储备规模、资金及专</w:t>
      </w:r>
      <w:r w:rsidRPr="005E0922">
        <w:rPr>
          <w:rFonts w:ascii="微软雅黑" w:eastAsia="微软雅黑" w:hAnsi="微软雅黑" w:hint="eastAsia"/>
          <w:color w:val="000000"/>
          <w:sz w:val="27"/>
          <w:szCs w:val="27"/>
        </w:rPr>
        <w:lastRenderedPageBreak/>
        <w:t>项债券的需求，配合财政部门做好土地储备专项债券额度分配及发行等相关工作。</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财政部门负责审核土地储备资金收支预决算、监督管理资金支付和收缴及土地储备专项债券发行、还本付息等工作。</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（二十三）各级国土资源主管部门、财政部门、中国人民银行分支机构和银行业监督管理部门应建立符合本地实际的联合监管机制。按照职责分工，对储备土地、资产、资金、专项债券进行监督和指导。</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七、其他要求</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（二十四）各省、自治区、直辖市及计划单列市国土资源主管部门可依据本办法规定，结合当地实际，会同当地同级财政部门、人民银行及银行业监督管理部门制定具体实施办法。</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（二十五）本办法由国土资源部会同财政部、中国人民银行及中国银行业监督管理委员会负责解释。</w:t>
      </w:r>
    </w:p>
    <w:p w:rsidR="005E0922" w:rsidRPr="005E0922" w:rsidRDefault="005E0922" w:rsidP="005E0922">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5E0922">
        <w:rPr>
          <w:rFonts w:ascii="微软雅黑" w:eastAsia="微软雅黑" w:hAnsi="微软雅黑" w:hint="eastAsia"/>
          <w:color w:val="000000"/>
          <w:sz w:val="27"/>
          <w:szCs w:val="27"/>
        </w:rPr>
        <w:t>（二十六）本办法自发布之日起实施，有效期5年。《国土资源部财政部中国人民银行关于印发〈土地储备管理办法〉的通知》（国土资发〔2007〕277号）同时废止。</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Pr>
        <w:pStyle w:val="3"/>
        <w:jc w:val="center"/>
        <w:rPr>
          <w:sz w:val="30"/>
          <w:szCs w:val="30"/>
        </w:rPr>
      </w:pPr>
      <w:bookmarkStart w:id="94" w:name="_Toc12864245"/>
      <w:r w:rsidRPr="005E0922">
        <w:rPr>
          <w:rFonts w:hint="eastAsia"/>
          <w:sz w:val="30"/>
          <w:szCs w:val="30"/>
        </w:rPr>
        <w:lastRenderedPageBreak/>
        <w:t>财政部</w:t>
      </w:r>
      <w:r w:rsidRPr="005E0922">
        <w:rPr>
          <w:rFonts w:hint="eastAsia"/>
          <w:sz w:val="30"/>
          <w:szCs w:val="30"/>
        </w:rPr>
        <w:t xml:space="preserve"> </w:t>
      </w:r>
      <w:r w:rsidRPr="005E0922">
        <w:rPr>
          <w:rFonts w:hint="eastAsia"/>
          <w:sz w:val="30"/>
          <w:szCs w:val="30"/>
        </w:rPr>
        <w:t>国土资源部关于印发《地方政府土地储备专项债券管理办法（试行）》的通知（财预〔</w:t>
      </w:r>
      <w:r w:rsidRPr="005E0922">
        <w:rPr>
          <w:rFonts w:hint="eastAsia"/>
          <w:sz w:val="30"/>
          <w:szCs w:val="30"/>
        </w:rPr>
        <w:t>2017</w:t>
      </w:r>
      <w:r w:rsidRPr="005E0922">
        <w:rPr>
          <w:rFonts w:hint="eastAsia"/>
          <w:sz w:val="30"/>
          <w:szCs w:val="30"/>
        </w:rPr>
        <w:t>〕</w:t>
      </w:r>
      <w:r w:rsidRPr="005E0922">
        <w:rPr>
          <w:rFonts w:hint="eastAsia"/>
          <w:sz w:val="30"/>
          <w:szCs w:val="30"/>
        </w:rPr>
        <w:t>62</w:t>
      </w:r>
      <w:r w:rsidRPr="005E0922">
        <w:rPr>
          <w:rFonts w:hint="eastAsia"/>
          <w:sz w:val="30"/>
          <w:szCs w:val="30"/>
        </w:rPr>
        <w:t>号）</w:t>
      </w:r>
      <w:bookmarkEnd w:id="94"/>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各省、自治区、直辖市、计划单列市财政厅（局）、各省级国土资源主管部门：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根据《中华人民共和国预算法》和《国务院关于加强地方政府性债务管理的意见》（国发〔2014〕43号）等有关规定，为完善地方政府专项债券管理，逐步建立专项债券与项目资产、收益对应的制度，有效防范专项债务风险，2017年先从土地储备领域开展试点，发行土地储备专项债券，规范土地储备融资行为，促进土地储备事业持续健康发展，今后逐步扩大范围。为此，我们研究制订了《地方政府土地储备专项债券管理办法（试行）》。</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2017年土地储备专项债券额度已经随同2017年分地区地方政府专项债务限额下达，请你们在本地区土地储备专项债券额度内组织做好土地储备专项债券额度管理、预算编制和执行等工作，尽快发挥债券资金效益。</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现将《地方政府土地储备专项债券管理办法（试行）》印发给你们，请遵照执行。</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附件：地方政府土地储备专项债券管理办法（试行）</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抄送：国务院办公厅，各省、自治区、直辖市、计划单列市人民政府，人民银行、证监会，财政部驻各省、自治区、直辖市、计划单列市财政监察专员办事处，中央国债登记结算有限责任公司，中国证券登记结算有限责任公司，上海证券交易所，深圳证券交易所。</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附件：</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地方政府土地储备专项债券管理办法（试行）</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第一章 总则</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第一条 为完善地方政府专项债券管理，规范土地储备融资行为，建立土地储备专项债券与项目资产、收益对应的制度，促进土地储备事业持续健康发展，根据《中华人民共和国预算法》和《国务院关于加强地方政府性债务管理的意见》（国发〔2014〕43号）等有关规定，制订本办法。</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第二条 本办法所称土地储备，是指地方政府为调控土地市场、促进土地资源合理利用，依法取得土地，进行前期开发、储存以备供应土地的行为。</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土地储备由纳入国土资源部名录管理的土地储备机构负责实施。</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第三条 本办法所称地方政府土地储备专项债券（以下简称土地储备专项债券）是地方政府专项债券的一个品种，是指地方政府为土地储备发行，以项目对应并纳入政府性基金预算管理的国有土地使用权出让</w:t>
      </w:r>
      <w:r w:rsidRPr="005E0922">
        <w:rPr>
          <w:rFonts w:ascii="微软雅黑" w:eastAsia="微软雅黑" w:hAnsi="微软雅黑" w:cs="宋体"/>
          <w:color w:val="000000"/>
          <w:kern w:val="0"/>
          <w:sz w:val="27"/>
          <w:szCs w:val="27"/>
        </w:rPr>
        <w:lastRenderedPageBreak/>
        <w:t>收入或国有土地收益基金收入（以下统称土地出让收入）偿还的地方政府专项债券。</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第四条 地方政府为土地储备举借、使用、偿还债务适用本办法。</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第五条 地方政府为土地储备举借债务采取发行土地储备专项债券方式。省、自治区、直辖市政府（以下简称省级政府）为土地储备专项债券的发行主体。设区的市、自治州，县、自治县、不设区的市、市辖区级政府（以下简称市县级政府）确需发行土地储备专项债券的，由省级政府统一发行并转贷给市县级政府。经省级政府批准，计划单列市政府可以自办发行土地储备专项债券。</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第六条 发行土地储备专项债券的土地储备项目应当有稳定的预期偿债资金来源，对应的政府性基金收入应当能够保障偿还债券本金和利息，实现项目收益和融资自求平衡。</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第七条 土地储备专项债券纳入地方政府专项债务限额管理。土地储备专项债券收入、支出、还本、付息、发行费用等纳入政府性基金预算管理。</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第八条 土地储备专项债券资金由财政部门纳入政府性基金预算管理，并由纳入国土资源部名录管理的土地储备机构专项用于土地储备，任何单位和个人不得截留、挤占和挪用，不得用于经常性支出。</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第二章 额度管理</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第九条 财政部在国务院批准的年度地方政府专项债务限额内，根据土地储备融资需求、土地出让收入状况等因素，确定年度全国土地储备专项债券总额度。</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第十条 各省、自治区、直辖市年度土地储备专项债券额度应当在国务院批准的分地区专项债务限额内安排，由财政部下达各省级财政部门，抄送国土资源部。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第十一条 省、自治区、直辖市年度土地储备专项债券额度不足或者不需使用的部分，由省级财政部门会同国土资源部门于每年8月底前向财政部提出申请。财政部可以在国务院批准的该地区专项债务限额内统筹调剂额度并予批复，抄送国土资源部。</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第三章 预算编制</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第十二条 县级以上地方各级土地储备机构应当根据土地市场情况和下一年度土地储备计划，编制下一年度土地储备项目收支计划，提出下一年度土地储备资金需求，报本级国土资源部门审核、财政部门复核。市县级财政部门将复核后的下一年度土地储备资金需求，经本级政府批准后于每年9月底前报省级财政部门，抄送省级国土资源部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第十三条 省级财政部门会同本级国土资源部门汇总审核本地区下一年度土地储备专项债券需求，随同增加举借专项债务和安排公益性资本支出项目的建议，经省级政府批准后于每年10月底前报送财政部。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第十四条 省级财政部门在财政部下达的本地区土地储备专项债券额度内，根据市县近三年土地出让收入情况、市县申报的土地储备项目融资需求、专项债务风险、项目期限、项目收益和融资平衡情况等因素，提出本地区年度土地储备专项债券额度分配方案，报省级政府批准后将分配市县的额度下达各市县级财政部门，并抄送省级国土资源部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第十五条 市县级财政部门应当在省级财政部门下达的土地储备专项债券额度内，会同本级国土资源部门提出具体项目安排建议，连同年度土地储备专项债券发行建议报省级财政部门备案，抄送省级国土资源部门。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第十六条 增加举借的土地储备专项债券收入应当列入政府性基金预算调整方案。包括：</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（一）省级政府在财政部下达的年度土地储备专项债券额度内发行专项债券收入；</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（二）市县级政府收到的上级政府转贷土地储备专项债券收入。</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第十七条 增加举借土地储备专项债券安排的支出应当列入预算调整方案，包括本级支出和转贷下级支出。土地储备专项债券支出应当明确到具体项目，在地方政府债务管理系统中统计，纳入财政支出预算项目库管理。</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地方各级国土资源部门应当建立土地储备项目库，项目信息应当包括项目名称、地块区位、储备期限、项目投资计划、收益和融资平衡方案、预期土地出让收入等情况，并做好与地方政府债务管理系统的衔接。</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第十八条 土地储备专项债券还本支出应当根据当年到期土地储备专项债券规模、土地出让收入等因素合理预计、妥善安排，列入年度政府性基金预算草案。</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第十九条 土地储备专项债券利息和发行费用应当根据土地储备专项债券规模、利率、费率等情况合理预计，列入政府性基金预算支出统筹安排。</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第二十条 土地储备专项债券收入、支出、还本付息、发行费用应当按照《地方政府专项债务预算管理办法》（财预〔2016〕155号）规定列入相关预算科目。</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第四章 预算执行和决算</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第二十一条 省级财政部门应当根据本级人大常委会批准的预算调整方案，结合市县级财政部门会同本级国土资源部门提出的年度土地储备专项债券发行建议，审核确定年度土地储备专项债券发行方案，明确债券发行时间、批次、规模、期限等事项。</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市县级财政部门应当会同本级国土资源部门、土地储备机构做好土地储备专项债券发行准备工作。</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第二十二条 地方各级国土资源部门、土地储备机构应当配合做好本地区土地储备专项债券发行准备工作，及时准确提供相关材料，配合做好信息披露、信用评级、土地资产评估等工作。</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第二十三条 土地储备专项债券应当遵循公开、公平、公正原则采取市场化方式发行，在银行间债券市场、证券交易所市场等交易场所发行和流通。</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第二十四条 土地储备专项债券应当统一命名格式，冠以“××年××省、自治区、直辖市（本级或××市、县）土地储备专项债券（×期）——×年××省、自治区、直辖市政府专项债券（×期）”名称，具体由省级财政部门商省级国土资源部门确定。</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第二十五条 土地储备专项债券的发行和使用应当严格对应到项目。根据土地储备项目区位特点、实施期限等因素，土地储备专项债券可以对应单一项目发行，也可以对应同一地区多个项目集合发行，具体由市县级财政部门会同本级国土资源部门、土地储备机构提出建议，报省级财政部门确定。</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第二十六条 土地储备专项债券期限应当与土地储备项目期限相适应，原则上不超过5年，具体由市县级财政部门会同本级国土资源部门、土地储备机构根据项目周期、债务管理要求等因素提出建议，报省级财政部门确定。</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土地储备专项债券发行时，可以约定根据土地出让收入情况提前偿还债券本金的条款。鼓励地方政府通过结构化创新合理设计债券期限结构。</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第二十七条 省级财政部门应当按照合同约定，及时偿还土地储备专项债券到期本金、利息以及支付发行费用。市县级财政部门应当及时向省级财政部门缴纳本地区或本级应当承担的还本付息、发行费用等资金。</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第二十八条 土地储备项目取得的土地出让收入，应当按照该项目对应的土地储备专项债券余额统筹安排资金，专门用于偿还到期债券本金，不得通过其他项目对应的土地出让收入偿还到期债券本金。</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因储备土地未能按计划出让、土地出让收入暂时难以实现，不能偿还到期债券本金时，可在专项债务限额内发行土地储备专项债券周转偿还，项目收入实现后予以归还。</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第二十九条 年度终了，县级以上地方各级财政部门应当会同本级国土资源部门、土地储备机构编制土地储备专项债券收支决算，在政府性基金预算决算报告中全面、准确反映土地储备专项债券收入、安排的支出、还本付息和发行费用等情况。</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第五章 监督管理</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 xml:space="preserve">　　第三十条 地方各级财政部门应当会同本级国土资源部门建立和完善相关制度，加强对本地区土地储备专项债券发行、使用、偿还的管理和监督。</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第三十一条 地方各级国土资源部门应当加强对土地储备项目的管理和监督，保障储备土地按期上市供应，确保项目收益和融资平衡。</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第三十二条 地方各级政府不得以土地储备名义为非土地储备机构举借政府债务，不得通过地方政府债券以外的任何方式举借土地储备债务，不得以储备土地为任何单位和个人的债务以任何方式提供担保。</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第三十三条 地方各级土地储备机构应当严格储备土地管理，切实理清土地产权，按照有关规定完成土地登记，及时评估储备土地资产价值。县级以上地方各级国土资源部门应当履行国有资产运营维护责任。</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第三十四条 地方各级土地储备机构应当加强储备土地的动态监管和日常统计，及时在土地储备监测监管系统中填报相关信息，获得相应电子监管号，反映土地储备专项债券运行情况。</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第三十五条 地方各级土地储备机构应当及时在土地储备监测监管系统填报相关信息，反映土地储备专项债券使用情况。</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第三十六条 财政部驻各地财政监察专员办事处对土地储备专项债券额度、发行、使用、偿还等进行监督，发现违反法律法规和财政管理、</w:t>
      </w:r>
      <w:r w:rsidRPr="005E0922">
        <w:rPr>
          <w:rFonts w:ascii="微软雅黑" w:eastAsia="微软雅黑" w:hAnsi="微软雅黑" w:cs="宋体"/>
          <w:color w:val="000000"/>
          <w:kern w:val="0"/>
          <w:sz w:val="27"/>
          <w:szCs w:val="27"/>
        </w:rPr>
        <w:lastRenderedPageBreak/>
        <w:t>土地储备资金管理等政策规定的行为，及时报告财政部，抄送国土资源部。</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第三十七条 违反本办法规定情节严重的，财政部可以暂停其地方政府专项债券发行资格。违反法律、行政法规的，依法追究有关人员责任；涉嫌犯罪的，移送司法机关依法处理。</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第六章 职责分工</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第三十八条 财政部负责牵头制定和完善土地储备专项债券管理制度，下达分地区土地储备专项债券额度，对地方土地储备专项债券管理实施监督。</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国土资源部配合财政部加强土地储备专项债券管理，指导和监督地方国土资源部门做好土地储备专项债券管理相关工作。</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第三十九条 省级财政部门负责本地区土地储备专项债券额度管理和预算管理、组织做好债券发行、还本付息等工作，并按照专项债务风险防控要求审核项目资金需求。</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省级国土资源部门负责审核本地区土地储备规模和资金需求（含成本测算等），组织做好土地储备项目库与地方政府债务管理系统的衔接，配合做好本地区土地储备专项债券发行准备工作。</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第四十条 市县级财政部门负责按照政府债务管理要求并根据本级国土资源部门建议以及专项债务风险、土地出让收入等因素，复核本地</w:t>
      </w:r>
      <w:r w:rsidRPr="005E0922">
        <w:rPr>
          <w:rFonts w:ascii="微软雅黑" w:eastAsia="微软雅黑" w:hAnsi="微软雅黑" w:cs="宋体"/>
          <w:color w:val="000000"/>
          <w:kern w:val="0"/>
          <w:sz w:val="27"/>
          <w:szCs w:val="27"/>
        </w:rPr>
        <w:lastRenderedPageBreak/>
        <w:t>区土地储备资金需求，做好土地储备专项债券额度管理、预算管理、发行准备、资金监管等工作。</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市县级国土资源部门负责按照土地储备管理要求并根据土地储备规模、成本等因素，审核本地区土地储备资金需求，做好土地储备项目库与政府债务管理系统的衔接，配合做好土地储备专项债券发行各项准备工作，监督本地区土地储备机构规范使用土地储备专项债券资金，合理控制土地出让节奏并做好与对应的专项债券还本付息的衔接，加强对项目实施情况的监控。</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第四十一条 土地储备机构负责测算提出土地储备资金需求，配合提供土地储备专项债券发行相关材料，规范使用土地储备专项债券资金，提高资金使用效益。</w:t>
      </w:r>
    </w:p>
    <w:p w:rsidR="005E0922" w:rsidRPr="005E0922" w:rsidRDefault="005E0922" w:rsidP="005E0922">
      <w:pPr>
        <w:widowControl/>
        <w:spacing w:before="100" w:beforeAutospacing="1" w:after="100" w:afterAutospacing="1" w:line="432"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第七章 附则</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第四十二条 省、自治区、直辖市财政部门可以根据本办法规定，结合本地区实际制定实施细则。</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第四十三条 本办法由财政部会同国土资源部负责解释。</w:t>
      </w:r>
    </w:p>
    <w:p w:rsidR="005E0922" w:rsidRPr="005E0922" w:rsidRDefault="005E0922" w:rsidP="005E0922">
      <w:pPr>
        <w:widowControl/>
        <w:spacing w:before="100" w:beforeAutospacing="1" w:after="100" w:afterAutospacing="1" w:line="432" w:lineRule="auto"/>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xml:space="preserve">　　第四十四条 本办法自印发之日起实施。</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Pr>
        <w:pStyle w:val="3"/>
        <w:jc w:val="center"/>
        <w:rPr>
          <w:sz w:val="30"/>
          <w:szCs w:val="30"/>
        </w:rPr>
      </w:pPr>
      <w:bookmarkStart w:id="95" w:name="_Toc12864246"/>
      <w:r w:rsidRPr="005E0922">
        <w:rPr>
          <w:rFonts w:hint="eastAsia"/>
          <w:sz w:val="30"/>
          <w:szCs w:val="30"/>
        </w:rPr>
        <w:lastRenderedPageBreak/>
        <w:t>国土资源部关于印发《关于深入推进城镇低效用地再开发的指导意见（试行）》的通知（国土资发〔</w:t>
      </w:r>
      <w:r w:rsidRPr="005E0922">
        <w:rPr>
          <w:rFonts w:hint="eastAsia"/>
          <w:sz w:val="30"/>
          <w:szCs w:val="30"/>
        </w:rPr>
        <w:t>2016</w:t>
      </w:r>
      <w:r w:rsidRPr="005E0922">
        <w:rPr>
          <w:rFonts w:hint="eastAsia"/>
          <w:sz w:val="30"/>
          <w:szCs w:val="30"/>
        </w:rPr>
        <w:t>〕</w:t>
      </w:r>
      <w:r w:rsidRPr="005E0922">
        <w:rPr>
          <w:rFonts w:hint="eastAsia"/>
          <w:sz w:val="30"/>
          <w:szCs w:val="30"/>
        </w:rPr>
        <w:t>147</w:t>
      </w:r>
      <w:r w:rsidRPr="005E0922">
        <w:rPr>
          <w:rFonts w:hint="eastAsia"/>
          <w:sz w:val="30"/>
          <w:szCs w:val="30"/>
        </w:rPr>
        <w:t>号）</w:t>
      </w:r>
      <w:bookmarkEnd w:id="95"/>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各省、自治区、直辖市人民政府，新疆生产建设兵团，国务院有关部委、直属机构：</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《关于深入推进城镇低效用地再开发的指导意见(试行)》已经中央全面深化改革领导小组和国务院审定。现印发你们，请认真贯彻执行。</w:t>
      </w:r>
    </w:p>
    <w:p w:rsidR="005E0922" w:rsidRPr="005E0922" w:rsidRDefault="005E0922" w:rsidP="005E0922">
      <w:pPr>
        <w:widowControl/>
        <w:shd w:val="clear" w:color="auto" w:fill="F6F6F6"/>
        <w:spacing w:before="225" w:after="225" w:line="480" w:lineRule="auto"/>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2016年11月11日</w:t>
      </w:r>
    </w:p>
    <w:p w:rsidR="005E0922" w:rsidRPr="005E0922" w:rsidRDefault="005E0922" w:rsidP="005E0922">
      <w:pPr>
        <w:widowControl/>
        <w:shd w:val="clear" w:color="auto" w:fill="F6F6F6"/>
        <w:spacing w:before="225" w:after="225" w:line="480" w:lineRule="auto"/>
        <w:jc w:val="righ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 </w:t>
      </w:r>
    </w:p>
    <w:p w:rsidR="005E0922" w:rsidRPr="005E0922" w:rsidRDefault="005E0922" w:rsidP="005E0922">
      <w:pPr>
        <w:widowControl/>
        <w:shd w:val="clear" w:color="auto" w:fill="F6F6F6"/>
        <w:spacing w:before="225" w:after="225" w:line="480" w:lineRule="auto"/>
        <w:jc w:val="center"/>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关于深入推进城镇低效用地再开发的指导意见(试行)</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根据《中华人民共和国土地管理法》及有关规定，按照《国家新型城镇化规划(2014～2020年)》等要求，为健全节约集约用地制度，盘活建设用地存量，提高土地利用效率，现就深入推进城镇低效用地再开发提出以下意见：</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一、总体要求</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指导思想。全面贯彻党的十八大和十八届三中、四中、五中、六中全会精神，深入学习贯彻习近平总书记系列重要讲话精神，紧紧围绕统筹推进“五位一体”的总体布局和协调推进“四个全面”的战略布局，按照党中央、国务院决策部署，牢固树立创新、协调、绿色、开放、共享的发展理念，推进供给侧结构性改革，坚持最严格的耕地保护制度</w:t>
      </w:r>
      <w:r w:rsidRPr="005E0922">
        <w:rPr>
          <w:rFonts w:ascii="微软雅黑" w:eastAsia="微软雅黑" w:hAnsi="微软雅黑" w:cs="宋体" w:hint="eastAsia"/>
          <w:color w:val="000000"/>
          <w:kern w:val="0"/>
          <w:sz w:val="27"/>
          <w:szCs w:val="27"/>
        </w:rPr>
        <w:lastRenderedPageBreak/>
        <w:t>和最严格的节约用地制度，坚持以人为本，促进新型城镇化发展，鼓励土地权利人自主改造开发，鼓励社会资本积极进入，规范推进城镇低效用地再开发，促进城镇更新改造和产业转型升级，优化土地利用结构，提升城镇建设用地人口、产业承载能力，建设和谐宜居城镇。</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(二)基本原则。</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坚持政府引导、规划先行。建立健全政府引导、部门协同、公众参与的工作机制，加强统筹协调，形成工作合力;坚持规划先行，对改造开发的规模、时序等进行统筹安排，确保改造开发工作稳步有序开展。</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坚持市场取向、因势利导。按照市场在资源配置中起决定性作用的要求，鼓励土地权利人、集体经济组织等市场主体和社会力量参与改造开发，形成形式多样的改造开发模式，增强改造开发的动力。</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公众参与、平等协商。充分尊重土地权利人的意愿，提高改造开发工作的公开性和透明度，保障土地权利人的知情权、参与权、受益权;建立健全平等协商机制，妥善解决群众利益诉求，做到公平公正，实现和谐开发。</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利益共享、多方共赢。建立完善经济激励机制，协调好政府、改造方、土地权利人等各方利益，实现共同开发、利益共享;严格保护历史文化遗产、特色风貌和保障公益性用地，统筹安排产业用地，实现经济发展、民生改善、文化传承多赢。</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坚持因地制宜、规范运作。充分考虑当地经济社会发展水平、发展定位等，依据城市总体发展布局，合理确定改造开发的方向和目标，分类实施;严格遵循改造开发要求和程序，切实加强监管，保证改造开发工作规范运作、有序推进。</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三)总体目标。城镇低效用地再开发规范推进，土地集约利用水平明显提高，城镇建设用地有效供给得到增强;城镇用地结构明显优化，产业转型升级逐渐加快，投资消费有效增长;城镇基础设施和公共服务设施明显改善，城镇化质量显著提高，经济社会可持续发展能力不断提升。</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二、加强统筹引导</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四)明确改造开发范围。本文件规定的城镇低效用地，是指经第二次全国土地调查已确定为建设用地中的布局散乱、利用粗放、用途不合理、建筑危旧的城镇存量建设用地，权属清晰、不存在争议。国家产业政策规定的禁止类、淘汰类产业用地;不符合安全生产和环保要求的用地;“退二进三”产业用地;布局散乱、设施落后，规划确定改造的老城区、城中村、棚户区、老工业区等，可列入改造开发范围。现状为闲置土地、不符合土地利用总体规划的历史遗留建设用地等，不得列入改造开发范围。市县人民政府要组织国土资源部门会同有关部门，提出城镇低效用地的标准，严格控制改造开发范围，对弄虚作假的，将严肃追究有关人员责任。</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(五)推进调查摸底和标图建库。开展低效用地改造开发的城镇，要充分利用土地调查成果，开展城镇存量建设用地调查，摸清城镇低效用</w:t>
      </w:r>
      <w:r w:rsidRPr="005E0922">
        <w:rPr>
          <w:rFonts w:ascii="微软雅黑" w:eastAsia="微软雅黑" w:hAnsi="微软雅黑" w:cs="宋体" w:hint="eastAsia"/>
          <w:color w:val="000000"/>
          <w:kern w:val="0"/>
          <w:sz w:val="27"/>
          <w:szCs w:val="27"/>
        </w:rPr>
        <w:lastRenderedPageBreak/>
        <w:t>地的现状和改造开发潜力，查清土地权属关系，了解土地权利人意愿。拟定城镇低效用地再开发范围后，要将拟列入改造开发范围的城镇低效用地标注在遥感影像图、地籍图和土地利用总体规划图上，建立城镇低效用地数据库，夯实管理基础。</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六)强化规划统筹和方案实施。市县国土资源部门要会同有关部门，依据土地利用总体规划和城镇规划，组织编制城镇低效用地再开发专项规划，明确改造利用的目标任务、性质用途、规模布局和时序安排，优先安排基础设施、公益设施等用地，统筹城镇功能再造、产业结构调整、生态环境保护、历史人文传承等，确保城镇低效用地再开发健康有序推进。专项规划经上一级国土资源部门核定，报同级人民政府批准后实施。</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按照专项规划，项目实施单位负责编制项目实施方案，确定改造开发项目规模、开发强度、利用方向、资金平衡等，报所在市县人民政府批准后实施。</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经批准的专项规划和项目实施方案均向社会公示。</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三、完善激励机制</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七)鼓励原国有土地使用权人进行改造开发。除有关法律法规，以及国有土地划拨决定书、国有土地使用权出让合同明确规定或者约定应当由政府收回土地使用权的土地外，在符合规划的前提下，原国有土地使用权人可通过自主、联营、入股、转让等多种方式对其使用的国有建设用地进行改造开发。原划拨土地改造开发后用途仍符合《划拨用地目</w:t>
      </w:r>
      <w:r w:rsidRPr="005E0922">
        <w:rPr>
          <w:rFonts w:ascii="微软雅黑" w:eastAsia="微软雅黑" w:hAnsi="微软雅黑" w:cs="宋体" w:hint="eastAsia"/>
          <w:color w:val="000000"/>
          <w:kern w:val="0"/>
          <w:sz w:val="27"/>
          <w:szCs w:val="27"/>
        </w:rPr>
        <w:lastRenderedPageBreak/>
        <w:t>录》的，可继续按划拨方式使用。改造开发土地需办理有偿使用手续，符合协议出让条件的，可依法采取协议方式。原依法取得的工业用地改造开发后提高厂房容积率但不改变用途的，可不再增缴土地价款。利用现有工业用地，兴办先进制造业、生产性及高科技服务业、创业创新平台等国家支持的新产业、新业态建设项目的，经市县人民政府批准，可继续按原用途使用，过渡期为5年，过渡期满后，依法按新用途办理用地手续。改造开发需变更原土地用途的，应当依法办理规划修改和用地手续。</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原国有土地使用权人有开发意愿，但没有开发能力的，可由政府依法收回土地使用权进行招拍挂，并给予原国有土地使用权人合理补偿;涉及国有土地上房屋征收的，应当严格按照《国有土地上房屋征收与补偿条例》规定的条件、程序、补偿标准等执行。</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八)积极引导城中村集体建设用地改造开发。城中村集体建设用地可依法征收后进行改造开发，各地要根据实际制定相关优惠政策，鼓励农村集体经济组织和原集体建设用地使用权人积极参与;集体经营性建设用地入市改革试点地区，可按照改革试点要求，采取自主、联营、入股等方式进行改造开发。</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(九)鼓励产业转型升级优化用地结构。各地要制定鼓励引导工业企业“退二进三”的政策措施，调动其参与改造开发积极性，促进产业转型升级，提高土地利用效率。对企业迁址重建的，除享受改造开发政策</w:t>
      </w:r>
      <w:r w:rsidRPr="005E0922">
        <w:rPr>
          <w:rFonts w:ascii="微软雅黑" w:eastAsia="微软雅黑" w:hAnsi="微软雅黑" w:cs="宋体" w:hint="eastAsia"/>
          <w:color w:val="000000"/>
          <w:kern w:val="0"/>
          <w:sz w:val="27"/>
          <w:szCs w:val="27"/>
        </w:rPr>
        <w:lastRenderedPageBreak/>
        <w:t>外，要在用地选址、土地审批、用地规模与计划安排等方面给予积极支持。</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鼓励集中成片开发。鼓励市场主体收购相邻多宗低效利用地块，申请集中改造开发;市县国土资源部门可根据申请，依法依规将分散的土地合并登记。城镇低效用地再开发涉及边角地、夹心地、插花地等难以独立开发的零星土地，可一并进行改造开发，但单宗零星用地面积原则上不超过3亩，且累计面积不超过改造开发项目总面积的10%。低效用地成片改造开发涉及的零星新增建设用地及土地利用总体规划修改，可纳入城市批次用地依法报批，涉及的新增用地计划指标由各省(区、市)在国家下达的计划指标内安排。</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一)加强公共设施和民生项目建设。在改造开发中要优先安排一定比例用地，用于基础设施、市政设施、公益事业等公共设施建设，促进文化遗产和历史文化建筑保护。对涉及经营性房地产开发的改造项目，可根据实际配建保障性住房或公益设施，按合同或协议约定移交当地政府统筹安排。对参与改造开发，履行公共性、公益性义务的，可给予适当政策奖励。</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四、妥善处理各类历史遗留建设用地问题</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(十二)实施分类处理。在城镇低效用地再开发专项规划范围内、符合土地利用总体规划、经第二次全国土地调查确定为建设用地但没有合法用地手续的历史遗留建设用地，按照依法依规、尊重历史的原则进行</w:t>
      </w:r>
      <w:r w:rsidRPr="005E0922">
        <w:rPr>
          <w:rFonts w:ascii="微软雅黑" w:eastAsia="微软雅黑" w:hAnsi="微软雅黑" w:cs="宋体" w:hint="eastAsia"/>
          <w:color w:val="000000"/>
          <w:kern w:val="0"/>
          <w:sz w:val="27"/>
          <w:szCs w:val="27"/>
        </w:rPr>
        <w:lastRenderedPageBreak/>
        <w:t>分类处理。各地要严格审查把关，防止随意扩大历史遗留建设用地范围和处理适用政策。</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用地行为发生在1986年12月31日之前的，由市、县人民政府土地行政部门出具符合土地利用总体规划的审核意见书，依照原国家土地管理局发布的《确定土地所有权和使用权的若干规定》进行确权后，由市县人民政府办理土地确权登记发证手续。</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用地行为发生在1987年1月1日至1998年12月31日之间的，符合土地利用总体规划，已与农村集体经济组织或农户签订征地协议并已落实，且未因征地补偿安置等问题引发纠纷、迄今被征地农民无不同意见的，依照1988年修订的《土地管理法》有关规定，落实处理(处罚)措施后按土地现状办理征收手续。</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用地行为发生在1999年1月1日至2009年12月31日之间的，符合土地利用总体规划，已与农村集体经济组织或农户签订征地协议并已落实，且未因征地补偿安置等问题引发纠纷、迄今被征地农民无不同意见的，按照1998年修订的《土地管理法》有关规定，缴纳耕地开垦费和新增建设用地土地有偿使用费，落实处理(处罚)措施后办理土地转用征收手续。</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五、完善保障措施</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(十三)加强组织领导。地方各级人民政府要加强对城镇低效用地再开发工作的组织领导和统筹协调，积极稳妥推进。地方各级国土资源部</w:t>
      </w:r>
      <w:r w:rsidRPr="005E0922">
        <w:rPr>
          <w:rFonts w:ascii="微软雅黑" w:eastAsia="微软雅黑" w:hAnsi="微软雅黑" w:cs="宋体" w:hint="eastAsia"/>
          <w:color w:val="000000"/>
          <w:kern w:val="0"/>
          <w:sz w:val="27"/>
          <w:szCs w:val="27"/>
        </w:rPr>
        <w:lastRenderedPageBreak/>
        <w:t>门要加强与相关部门的沟通协调，密切协同配合，形成工作合力，落实好城镇低效用地再开发各项政策。</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四)健全协商和社会监督机制。建立公开畅通的沟通渠道，充分了解和妥善解决群众利益诉求，做好民意调查，充分尊重原土地使用权人的意愿，未征得原土地使用权人同意的，不得进行改造开发。建立项目信息公开制度，对改造开发涉及的各个环节实行全过程公开，切实保障群众的知情权、参与权、监督权。严格执行土地出让相关程序，规范土地市场秩序，涉及出让的必须开展地价评估、集体决策、结果公示。</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五)强化实施管理。各省级国土资源部门要根据本地实际，研究制定实施细则，细化各项政策措施，加强对市县相关工作的督促检查和指导支持;市县国土资源部门要明确具体操作办法，加强对改造开发实施监管。地方各级国土资源部门要增强服务意识，加快审查报批，积极服务改造开发工作，及时做好项目审批、实施、竣工验收等及其上图入库。</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六)严守廉政纪律。建立责任追究机制，加强廉政风险排查，扎好笼子、定好规矩;规范资金管理，项目收益要公开透明，确保资金使用安全高效;严格城镇低效用地再开发监督管理，加强项目实施跟踪评估，保证改造开发工作规范健康开展;切实增强廉政意识，确保廉洁自律。</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十七)加强宣传引导。密切跟踪政策实施进展情况，强化风险评估，做好政策解读，加强舆论引导，回应社会关切，营造有利于改造开发工作的良好氛围。加强总结评估，对于政策实施中出现的问题，要及时研究解决。</w:t>
      </w:r>
    </w:p>
    <w:p w:rsidR="005E0922" w:rsidRPr="005E0922" w:rsidRDefault="005E0922" w:rsidP="005E0922">
      <w:pPr>
        <w:widowControl/>
        <w:shd w:val="clear" w:color="auto" w:fill="F6F6F6"/>
        <w:spacing w:before="225" w:after="225" w:line="480" w:lineRule="auto"/>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本意见自下发之日起施行，有效期5年。</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Pr>
        <w:pStyle w:val="3"/>
        <w:jc w:val="center"/>
        <w:rPr>
          <w:sz w:val="30"/>
          <w:szCs w:val="30"/>
        </w:rPr>
      </w:pPr>
      <w:bookmarkStart w:id="96" w:name="_Toc12864247"/>
      <w:r w:rsidRPr="005E0922">
        <w:rPr>
          <w:rFonts w:hint="eastAsia"/>
          <w:sz w:val="30"/>
          <w:szCs w:val="30"/>
        </w:rPr>
        <w:lastRenderedPageBreak/>
        <w:t>国土资源部办公厅关于印发《产业用地政策实施工作指引的通知》（国土资厅发〔</w:t>
      </w:r>
      <w:r w:rsidRPr="005E0922">
        <w:rPr>
          <w:rFonts w:hint="eastAsia"/>
          <w:sz w:val="30"/>
          <w:szCs w:val="30"/>
        </w:rPr>
        <w:t>2016</w:t>
      </w:r>
      <w:r w:rsidRPr="005E0922">
        <w:rPr>
          <w:rFonts w:hint="eastAsia"/>
          <w:sz w:val="30"/>
          <w:szCs w:val="30"/>
        </w:rPr>
        <w:t>〕</w:t>
      </w:r>
      <w:r w:rsidRPr="005E0922">
        <w:rPr>
          <w:rFonts w:hint="eastAsia"/>
          <w:sz w:val="30"/>
          <w:szCs w:val="30"/>
        </w:rPr>
        <w:t>38</w:t>
      </w:r>
      <w:r w:rsidRPr="005E0922">
        <w:rPr>
          <w:rFonts w:hint="eastAsia"/>
          <w:sz w:val="30"/>
          <w:szCs w:val="30"/>
        </w:rPr>
        <w:t>号）</w:t>
      </w:r>
      <w:bookmarkEnd w:id="96"/>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各省、自治区、直辖市国土资源主管部门，新疆生产建设兵团国土资源局：</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为进一步深入贯彻落实党中央、国务院关于保持经济中高速增长、推动产业迈向中高端水平的决策部署，促进地方各级特别是市、县国土资源主管部门更好落实产业用地政策，依据国家和部已经制定出台的各项支持新经济、新产业、新业态、新模式发展用地政策，部研究形成了《产业用地政策实施工作指引》（以下简称《指引》），现予印发，并就有关事项通知如下：</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一、充分认识产业用地政策的重要意义</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产业用地政策是国土资源主管部门认识新常态、适应新常态、引领新常态的主动作为；是优化土地资源配置，推动大众创业、万众创新，释放新需求、创造新供给，推动新产业、新业态蓬勃发展的重要动力；是认真履行国土资源职责新定位，以土地利用方式转变促进经济发展方式转变和结构优化的重大举措。地方各级国土资源主管部门要进一步将落实产业用地政策作为各项工作的重中之重，更加主动地服务国家稳增长、促改革、调结构、扩就业经济社会发展大局。</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二、进一步加大产业发展用地保障工作力度</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地方各级国土资源主管部门要对照《指引》，进一步深入学习领会党中央、国务院关于促进产业发展的政策文件精神，主动对接产业用地新需求，优化土地供应结构、调整土地供应时序，保障产业发展及时落地。</w:t>
      </w:r>
      <w:r w:rsidRPr="005E0922">
        <w:rPr>
          <w:rFonts w:ascii="微软雅黑" w:eastAsia="微软雅黑" w:hAnsi="微软雅黑" w:cs="宋体"/>
          <w:color w:val="000000"/>
          <w:kern w:val="0"/>
          <w:sz w:val="27"/>
          <w:szCs w:val="27"/>
        </w:rPr>
        <w:lastRenderedPageBreak/>
        <w:t>准确把握鼓励盘活现有建设用地发展相关产业的政策要义，主动提供优质服务，促进产业结构和土地利用结构双调整双优化。</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三、进一步营造公平竞争的土地市场环境</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落实产业用地政策要坚持按用途管理、平等对待用地主体的原则，依法依规保障各种所有制经济主体依法平等使用土地、公平参与市场竞争的权利。要采取更加积极的措施，进一步做好大、中、小、微企业发展用地需求保障工作，促进社会投资、民间投资健康发展。</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四、进一步深化土地管理供给侧改革</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地方各级国土资源主管部门要依据国家产业用地政策，结合地方实际，不断完善实施措施，打通政策落实的“最后一公里”。省级国土资源主管部门要切实加强对市、县的培训与指导，市、县国土资源主管部门要在依法依规的前提下，落实“去产能、去库存、去杠杆、降成本、补短板”工作要求。对新经济、新产业、新业态、新模式发展中遇到的新情况、新问题，要及时研究报告、上下联动、及时解决，促进政策落地。</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五、加强产业用地政策的宣传</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各地要采取多种方式，向产业行业主管部门、用地主体宣传产业用地政策，做到广而告之。要注意发现、总结落实产业用地政策的成功经验、典型做法，并加强宣传、交流，营造更加良好的舆论氛围和市场环境，提升落实产业用地政策能力水平。</w:t>
      </w:r>
    </w:p>
    <w:p w:rsidR="005E0922" w:rsidRPr="005E0922" w:rsidRDefault="005E0922" w:rsidP="005E0922">
      <w:pPr>
        <w:widowControl/>
        <w:shd w:val="clear" w:color="auto" w:fill="FFFFFF"/>
        <w:jc w:val="righ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2016年10月28日 </w:t>
      </w:r>
    </w:p>
    <w:p w:rsidR="005E0922" w:rsidRPr="005E0922" w:rsidRDefault="005E0922" w:rsidP="005E0922">
      <w:pPr>
        <w:widowControl/>
        <w:shd w:val="clear" w:color="auto" w:fill="FFFFFF"/>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产业用地政策实施工作指引</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为优化土地要素配置，培育发展新动力，支持稳增长、调结构、促就业，依据国家和部关于新经济、新产业、新业态、新模式发展的用地政策，制定本指引，供地方各级特别是市、县国土资源主管部门在工作中使用。</w:t>
      </w:r>
    </w:p>
    <w:p w:rsidR="005E0922" w:rsidRPr="005E0922" w:rsidRDefault="005E0922" w:rsidP="005E0922">
      <w:pPr>
        <w:widowControl/>
        <w:shd w:val="clear" w:color="auto" w:fill="FFFFFF"/>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第一章 总则</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第一条（产业用地政策含义）产业用地政策是指国务院、国土资源部针对特定行业制定的专项用地政策。相关政策清单见附录，并可在中国政府网（www.gov.cn）和国土资源部门户网站（www.mlr.gov.cn）查询。</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上述“特定行业”，不包括房地产业。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本指引适用于上述特定行业涉及的土地供应、开发利用和土地利用年度计划、土地供应计划编制及登记等工作。</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二条（基本原则）地方各级国土资源主管部门执行产业用地政策时，应当遵守国家有关法律法规，符合国家产业政策，符合土地利用总体规划和城乡规划，符合用地分类国家标准和土地使用标准，坚持规划确定用途、用途确定供应方式、市场确定供应价格、用地主体一视同仁原则。</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第三条（本指引的细化与更新）地方各级国土资源主管部门可按照本指引，根据本地区实际情况，细化实施措施，推进产业用地政策落实。</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对本指引印发后国家和部新出台的产业用地政策，地方各级国土资源主管部门可自行纳入本指引适用范围。</w:t>
      </w:r>
    </w:p>
    <w:p w:rsidR="005E0922" w:rsidRPr="005E0922" w:rsidRDefault="005E0922" w:rsidP="005E0922">
      <w:pPr>
        <w:widowControl/>
        <w:shd w:val="clear" w:color="auto" w:fill="FFFFFF"/>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第二章 产业用地政策实施</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第四条（可按原地类管理的情形）根据《国务院关于促进光伏产业健康发展的若干意见》（国发〔2013〕24号）和《关于支持新产业新业态</w:t>
      </w:r>
      <w:r w:rsidRPr="005E0922">
        <w:rPr>
          <w:rFonts w:ascii="微软雅黑" w:eastAsia="微软雅黑" w:hAnsi="微软雅黑" w:cs="宋体"/>
          <w:color w:val="000000"/>
          <w:kern w:val="0"/>
          <w:sz w:val="27"/>
          <w:szCs w:val="27"/>
        </w:rPr>
        <w:lastRenderedPageBreak/>
        <w:t>发展促进大众创业万众创新用地的意见》（国土资规〔2015〕5号），光伏发电站项目使用未利用地布设光伏方阵的，可按原地类认定和管理。其中的未利用地按照土地调查成果认定，光伏方阵用地面积按照《光伏发电站工程项目用地控制指标》（国土资规〔2015〕11号）核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现行土地管理法律法规和《关于支持旅游业发展用地政策的意见》（国土资规〔2015〕10号），土地利用总体规划确定的城镇建设用地规模边界外的旅游项目中的自然景观用地及农牧渔业种植、养殖用地，可按原地类认定和管理。</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五条（优先安排计划指标的原则和层级）对产业发展较快的地区、集聚区及使用未利用地发展产业的，要优先安排用地计划指标。地方各级国土资源主管部门在编制下达土地利用计划时，要根据国家产业政策和当地产业发展情况，统筹安排用地计划指标，确保符合产业政策的项目用地，促进产业健康协调发展。</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六条（优先安排供应计划的行业类型）市、县国土资源主管部门编制国有建设用地供应计划时，应根据产业用地政策相关要求，按照《国有建设用地供应计划编制规范（试行）》（国土资发〔2010〕117号），优先安排下列产业用地供应：</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（一）国务院及其职能部门发布的产业发展规划中明确的重点产业。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（二）国务院及其职能部门发布的产业促进政策中明确的重点产业。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（三）县级以上地方人民政府依据前述规划、政策明确的本地区重点产业。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各地制定供应计划，要按照《国务院关于进一步支持小型微型企业健康发展的意见》（国发〔2012〕14号）要求，积极保障小企业创业基地、科技孵化器、商贸企业集聚区用地。中西部地区要按照《国务院关于促进外贸回稳向好的若干意见》（国发〔2016〕27号）要求，加大加工企业用地供应。</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第七条（土地用途的确定）市、县国土资源主管部门在组织新供产业用地时，应当依据规划部门给出的规划条件，确定土地供应用途。</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对于现行国标分类中没有明确定义的新产业、新业态类型，市、县国土资源主管部门可按照国土资规〔2015〕5号文件规定，结合现有土地供应政策要求和当地产业发展实际需要，主动商同级城乡规划、产业主管部门提出规划用途的建议意见，促进项目落地。</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市、县国土资源主管部门在签订《国有建设用地使用权出让合同》时，合同中的宗地用途按《土地利用现状分类》（中华人民共和国国家标准GB／T21010-2007）规定的土地二级类填写；规划部门给出的规划条件在《土地利用现状分类》中无直接对应类型的，市、县国土资源主管部门经内部会商后，按《土地利用现状分类》规定的土地二级类填写，必要时可征求规划、投资部门意见。</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国土资规〔2015〕5号文件规定，新产业新业态发展中工业用地、科教用地兼容相关用途设施建筑面积不超过15%的，仍按工业、科教用途管理。其他情形下，同一宗土地上兼容两种以上用途的，应确定主用途并依据主用途确定供应方式；主用途可以依据建筑面积占比确定，</w:t>
      </w:r>
      <w:r w:rsidRPr="005E0922">
        <w:rPr>
          <w:rFonts w:ascii="微软雅黑" w:eastAsia="微软雅黑" w:hAnsi="微软雅黑" w:cs="宋体"/>
          <w:color w:val="000000"/>
          <w:kern w:val="0"/>
          <w:sz w:val="27"/>
          <w:szCs w:val="27"/>
        </w:rPr>
        <w:lastRenderedPageBreak/>
        <w:t>也可以依据功能的重要性确定，确定主用途的结论和理由应当写入供地方案，经批准后实施。</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第八条（土地使用方式的确定）各类产业用地均可采取长期租赁、先租后让、租让结合方式使用土地。</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以长期租赁方式使用土地的，应按照《规范国有土地租赁若干意见》（国土资发〔1999〕222号）执行，租赁期限按照《合同法》规定，不得超过二十年。</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国务院办公厅关于加强鲜活农产品流通体系建设的意见》（国办发〔2011〕59号）和《关于加快发展公共租赁住房的指导意见》（建保〔2010〕87号，经国务院同意），现阶段仅政府投资建设不以营利为目的、具有公益性质的农产品批发市场和公共租赁住房两类项目用地可以作价出资（入股）方式使用新供建设用地。作价出资（入股）土地应当以市、县人民政府作为出资人，制定作价出资或者入股方案，经市、县人民政府批准后实施。</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九条（土地供应方式的确定）以先租后让、租让结合方式供应产业用地的，市、县国土资源主管部门会同城乡规划、建设、房产部门拟定方案时，应提请同级政府同意，邀请投资、产业等主管部门参加供应方案拟定工作，明确租赁土地转为出让土地的条件，报有批准权的人民政府批准后实施。按用途依法需采取招标拍卖挂牌方式出让的土地，招标拍卖挂牌工作可在租赁环节实施；在承租方使用租赁土地达到合同约定条件后需办理出让手续时，可采取协议方式。</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根据《国务院关于深化流通体制改革加快流通产业发展的意见》（国发〔2012〕39号）、《国务院办公厅关于促进内贸流通健康发展的若干意见》（国办发〔2014〕51号）、《国务院办公厅关于推进城区老工业区搬迁改造的指导意见》（国办发〔2014〕9号）、《国土资源部关于进一步落实工业用地出让制度的通知》（国土资发〔2009〕101号），对旧城区改建需异地搬迁改造的城区商品批发市场等流通业用地、工业用地，在收回原国有建设用地使用权后，经批准可以协议出让方式为原土地使用权人安排用地，有土地使用标准要求的，应按标准安排同类用途用地。</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国务院办公厅转发财政部发展改革委人民银行关于在公共服务领域推广政府和社会资本合作模式指导意见的通知》（国办发〔2015〕42号）、《国务院办公厅关于支持铁路建设实施土地综合开发的意见》（国办发〔2014〕37号）、国土资规〔2015〕10号文件，下列情形可将通过竞争方式确定项目投资主体和用地者的环节合并实施：</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（一）采用政府和社会资本合作方式实施项目建设时，相关用地需要有偿使用的；</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（二）通过招标方式确定新建铁路项目投资主体和土地综合开发权中标人的；</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（三）政府将收回和征收的历史遗留损毁土地复垦并用于旅游项目建设的。</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以合并竞争方式确定项目投资主体和用地者的，市、县国土资源主管部门应依法独立履行编制供地方案、签订供应合同和实施用地供后监管等法定职责。</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条（关于配套建设）根据《国务院办公厅关于加快新能源汽车推广应用的指导意见》（国办发〔2014〕35号）、《养老服务设施用地指导意见》（国土资厅发〔2014〕11号）、国土资规〔2015〕5号、国土资规〔2015〕10号、《关于支持电影发展若干经济政策的通知》（财教〔2014〕56号）等文件规定，对新能源汽车充电设施、无线通讯基站、分布式光伏发电设施、社区养老（医疗、体育、文化）服务设施、电影院（影厅）、旅游厕所等布点分散、单体规模小、对其他建筑物构筑物有密切依附关系的产业配套设施，允许在新供其他建设项目用地时，将其建设要求纳入供地条件。</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市、县国土资源主管部门应主动告知相关部门上述配建政策，相关部门提出配套建设要求的，市、县国土资源主管部门应注意与提出要求的部门共同商城乡规划主管部门，依法先将配建要求纳入规划条件后，再行纳入供地条件，并明确建成后资产移交和运营管理要求。</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一条（关于地役权）根据《物权法》和国办发〔2014〕35号、国土资规〔2015〕5号等法律和文件规定，地役权适用于在已有使用权人的土地、建筑物、构筑物上布设新能源汽车充电设施、无线通讯基站、分布式光伏发电设施等小型设施的情形。设立地役权，应执行《物权法》第十四章规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第十二条（关于过渡期政策）对于产业用地政策中明确，利用存量房产、土地资源发展国家支持产业、行业的，可享受在一定年期内不改变用地主体和规划条件的过渡期支持政策的情形，过渡期满需办理改变用地主体和规划条件的手续时，除符合《划拨用地目录》的可保留划拨外，其余可以协议方式办理。</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产业用地政策对“暂不变更”的时限没有明确规定的，时限及后续管理可参照执行国土资规〔2015〕5号文件，或由地方国土资源主管部门会同相关部门制定实施细则。</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三条（土地供应价格的确定）各省（区、市）确定的优先发展产业且用地集约的工业项目，以农、林、牧、渔业产品初加工为主的工业项目，在确定土地出让底价时可按不低于所在地土地等别相对应《全国工业用地出让最低价标准》的70％执行。按比例计算后低于该项目实际土地取得成本、土地前期开发成本和按规定应收取的相关费用之和的，应按不低于实际各项成本费用之和的原则确定出让底价。中西部地区省级国土资源主管部门应向相关部门建议，按照国发〔2016〕27号文件要求，将加工贸易相关的工业项目纳入本省（区、市）优先发展的工业项目。</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根据国土资规〔2015〕10号文件，旅游相关建设项目中的人造景观用地应根据具体行业市场经营情况，客观评估确定供应底价。</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根据《国务院办公厅关于促进物流业健康发展政策措施的意见》（国办发〔2011〕38号），农产品批发市场用地作为经营性商业用地，应以招标拍卖挂牌方式供应，所在区域有工业用地交易地价的，可以参照市</w:t>
      </w:r>
      <w:r w:rsidRPr="005E0922">
        <w:rPr>
          <w:rFonts w:ascii="微软雅黑" w:eastAsia="微软雅黑" w:hAnsi="微软雅黑" w:cs="宋体"/>
          <w:color w:val="000000"/>
          <w:kern w:val="0"/>
          <w:sz w:val="27"/>
          <w:szCs w:val="27"/>
        </w:rPr>
        <w:lastRenderedPageBreak/>
        <w:t>场地价水平、所在区域基准地价和工业用地最低价标准等确定出让底价。 </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四条（依法使用集体建设用地）产业用地政策允许依法使用集体建设用地的，除农村集体经营性建设用地入市改革试点地区外，其他地区应按《土地管理法》相关规定执行，应以农村集体经济组织自行使用，或农村集体经济组织以土地使用权入股、联营等方式与其他单位、个人共同举办企业的方式使用土地。在此前提下，各地可依法探索完善集体建设用地使用权入股、联营的管理方式。</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依据《旅游法》规定和各省（区、市）制定的管理办法，乡村居民可以利用自有住宅或者其他条件依法从事旅游经营。</w:t>
      </w:r>
    </w:p>
    <w:p w:rsidR="005E0922" w:rsidRPr="005E0922" w:rsidRDefault="005E0922" w:rsidP="005E0922">
      <w:pPr>
        <w:widowControl/>
        <w:shd w:val="clear" w:color="auto" w:fill="FFFFFF"/>
        <w:jc w:val="center"/>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第三章 改进完善管理方式</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五条（安排供应计划）按照国土资发〔2010〕117号文件规定，市、县国土资源主管部门测算计划期国有建设用地需求量时，应当主动征求本地区重点发展产业主管部门意见，确定需优先保障的重要产业国有建设用地需求量。</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第十六条（项目认定）下列情形中，市、县国土资源主管部门应会商产业主管部门，对项目性质予以认定：</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（一）落实产业用地政策时，对相关项目是否属于国家支持发展产业难以确认的；</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（二）建设单位认为自身拟建项目符合《划拨用地目录》，对项目是否属于非营利性项目性质难以确认的。</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lastRenderedPageBreak/>
        <w:t>产业主管部门能够就上述事项提供证明文件的，市、县国土资源主管部门应依据证明文件、按相关产业用地政策执行。产业主管部门不能就上述事项提供证明文件的，市、县国土资源主管部门可在与产业主管部门商议达成共识的基础上，共同提出对项目用地适用政策的建议，报请有批准权的政府批准后实施。</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七条（关于供应前置条件）对政策允许将产业类型、生产技术、产业标准、产品品质、节地技术等要求作为土地供应前置条件的，设置供应前置条件时，市、县国土资源主管部门应当商请提出供应前置条件的部门，书面明确设置土地供应前置条件的理由或必要性、具体内容表述及条件履约监管主体、监管措施、违约处理方式。在制定供地方案和签署供地文件时，除将相关内容写入外，还应当将提出前置条件部门出具的上述书面文件作为附件一并收入，并在向土地供应集体决策机构汇报时专门作出说明。</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市、县国土资源主管部门应积极向本地区相关部门和产业发展、土地供应集体决策机构宣传国土资源部会同发展改革委、科技部、工业信息化部、住房城乡建设部、商务部共同下发的国土资规〔2015〕5号文件，落实其中将项目用地产业发展承诺书作为签订土地供应合同前提条件的规定，提醒提出关联条件部门监督承诺书履行情况。</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第十八条（限制改变用途与分割转让）对于落实产业用地政策供应的宗地，相关规范性文件有限制改变用途、限制转让或分割转让等规定的，原则上应当将限制要求写入划拨决定书或有偿使用合同，并记载到不动</w:t>
      </w:r>
      <w:r w:rsidRPr="005E0922">
        <w:rPr>
          <w:rFonts w:ascii="微软雅黑" w:eastAsia="微软雅黑" w:hAnsi="微软雅黑" w:cs="宋体"/>
          <w:color w:val="000000"/>
          <w:kern w:val="0"/>
          <w:sz w:val="27"/>
          <w:szCs w:val="27"/>
        </w:rPr>
        <w:lastRenderedPageBreak/>
        <w:t>产登记簿和不动产权利证书，在分割转让审批、不动产统一登记管理等环节予以落实。</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第十九条（卷宗与台账管理）市、县国土资源主管部门要加强产业用地政策实施的精准性、时效性管理，加强事前、事中、事后的全程跟踪服务和监管。适用的产业用地政策文件应当纳入土地使用权供应档案卷宗长期妥善保存。</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color w:val="000000"/>
          <w:kern w:val="0"/>
          <w:sz w:val="27"/>
          <w:szCs w:val="27"/>
        </w:rPr>
        <w:t>市、县国土资源主管部门可根据需要建立产业用地政策适用项目台账，记录项目基本情况、适用产业用地政策、供后投资建设情况、过渡期起始时间及期满处理情况等。</w:t>
      </w:r>
    </w:p>
    <w:p w:rsidR="005E0922" w:rsidRDefault="005E0922" w:rsidP="005E0922">
      <w:pPr>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第二十条（监管责任）市、县国土资源主管部门要加强与产业主管部门的协调配合，依据土地供应合同、划拨决定书、产业主管部门出具的证明文件、前置条件文件、项目用地产业发展承诺书等约定的用地条件、用地责任、监管责任，强化用地供后联合监管。重大事项要及时向市、县人民政府或相关机构报告。</w:t>
      </w: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rPr>
          <w:rFonts w:ascii="微软雅黑" w:eastAsia="微软雅黑" w:hAnsi="微软雅黑" w:cs="宋体"/>
          <w:color w:val="000000"/>
          <w:kern w:val="0"/>
          <w:sz w:val="27"/>
          <w:szCs w:val="27"/>
        </w:rPr>
      </w:pPr>
    </w:p>
    <w:p w:rsidR="005E0922" w:rsidRDefault="005E0922" w:rsidP="005E0922">
      <w:pPr>
        <w:pStyle w:val="3"/>
        <w:jc w:val="center"/>
        <w:rPr>
          <w:sz w:val="30"/>
          <w:szCs w:val="30"/>
        </w:rPr>
      </w:pPr>
      <w:bookmarkStart w:id="97" w:name="_Toc12864248"/>
      <w:r w:rsidRPr="005E0922">
        <w:rPr>
          <w:rFonts w:hint="eastAsia"/>
          <w:sz w:val="30"/>
          <w:szCs w:val="30"/>
        </w:rPr>
        <w:lastRenderedPageBreak/>
        <w:t>关于扩大国有土地有偿使用范围的意见（国土资规〔</w:t>
      </w:r>
      <w:r w:rsidRPr="005E0922">
        <w:rPr>
          <w:rFonts w:hint="eastAsia"/>
          <w:sz w:val="30"/>
          <w:szCs w:val="30"/>
        </w:rPr>
        <w:t>2016</w:t>
      </w:r>
      <w:r w:rsidRPr="005E0922">
        <w:rPr>
          <w:rFonts w:hint="eastAsia"/>
          <w:sz w:val="30"/>
          <w:szCs w:val="30"/>
        </w:rPr>
        <w:t>〕</w:t>
      </w:r>
      <w:r w:rsidRPr="005E0922">
        <w:rPr>
          <w:rFonts w:hint="eastAsia"/>
          <w:sz w:val="30"/>
          <w:szCs w:val="30"/>
        </w:rPr>
        <w:t>20</w:t>
      </w:r>
      <w:r w:rsidRPr="005E0922">
        <w:rPr>
          <w:rFonts w:hint="eastAsia"/>
          <w:sz w:val="30"/>
          <w:szCs w:val="30"/>
        </w:rPr>
        <w:t>号）</w:t>
      </w:r>
      <w:bookmarkEnd w:id="97"/>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各省、自治区、直辖市人民政府，国务院各部委、各直属机构：</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自土地使用制度改革以来，我国已形成较为完善的国有建设用地有偿使用制度体系，对落实“十分珍惜、合理利用土地和切实保护耕地”基本国策，保障城镇化、工业化发展，促进社会主义市场经济体制的建立和完善，发挥了重大作用。近年来，随着我国经济发展进入新常态，国有土地有偿使用覆盖面不到位、制度不健全等问题逐渐凸显，市场配置资源决定性作用没有得到充分发挥。为进一步完善国有土地有偿使用制度，根据《中华人民共和国土地管理法》及相关法律规定，经国务院同意，提出以下意见。</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一、总体要求 </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指导思想。全面贯彻党的十八大和十八届三中、四中、五中、六中全会精神，深入学习贯彻习近平总书记系列重要讲话精神，紧紧围绕统筹推进“五位一体”总体布局和协调推进“四个全面”战略布局，牢固树立创新、协调、绿色、开放、共享的发展理念，按照党中央、国务院决策部署，立足基本国情和发展阶段，坚持和完善国有土地全民所有制，坚持和完善国有土地有偿使用制度，使市场在资源配置中起决定性作用和更好发挥政府作用，进一步深化国有土地使用和管理制度改革，</w:t>
      </w:r>
      <w:r w:rsidRPr="005E0922">
        <w:rPr>
          <w:rFonts w:ascii="微软雅黑" w:eastAsia="微软雅黑" w:hAnsi="微软雅黑" w:cs="宋体" w:hint="eastAsia"/>
          <w:color w:val="000000"/>
          <w:kern w:val="0"/>
          <w:sz w:val="27"/>
          <w:szCs w:val="27"/>
        </w:rPr>
        <w:lastRenderedPageBreak/>
        <w:t>扩大国有土地有偿使用范围，促进国有土地资源全面节约集约利用，更好地支撑和保障经济社会持续健康发展。</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（二）基本原则。</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坚持用途管制。严格落实国有农用地、建设用地和未利用地用途管制，国有土地的开发、利用和保护应坚持生态优先的原则，必须符合土地利用总体规划、城乡规划和主体功能区规划等各相关规划。</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市场配置。落实国有土地所有权权益，明晰使用权为核心的国有土地资产产权归属、权利类型及对应权能。扩大国有建设用地有偿使用范围，推进国有农用地有偿使用，规范国有未利用地使用管理。完善国有土地有偿使用方式，健全公平开放透明的国有土地市场规则。</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坚持依法行政。依法扩大国有土地有偿使用范围，法律规定应当有偿使用的国有土地，必须有偿使用。根据投融资体制、国有企事业单位、农垦等相关领域改革要求，逐步缩小划拨用地范围。依法严格生态用地保护。</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二、扩大国有建设用地有偿使用范围 </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完善公共服务项目用地政策。根据投融资体制改革要求，对可以使用划拨土地的能源、环境保护、保障性安居工程、养老、教育、文化、体育及供水、燃气供应、供热设施等项目，除可按划拨方式供应土地外，鼓励以出让、租赁方式供应土地，支持市、县政府以国有建设</w:t>
      </w:r>
      <w:r w:rsidRPr="005E0922">
        <w:rPr>
          <w:rFonts w:ascii="微软雅黑" w:eastAsia="微软雅黑" w:hAnsi="微软雅黑" w:cs="宋体" w:hint="eastAsia"/>
          <w:color w:val="000000"/>
          <w:kern w:val="0"/>
          <w:sz w:val="27"/>
          <w:szCs w:val="27"/>
        </w:rPr>
        <w:lastRenderedPageBreak/>
        <w:t>用地使用权作价出资或者入股的方式提供土地，与社会资本共同投资建设。市、县政府应依据当地土地取得成本、市场供需、产业政策和其他用途基准地价等，制定公共服务项目基准地价，依法评估并合理确定出让底价。公共服务项目用地出让、租赁应遵循公平合理原则，不得设置不合理的供应条件，只有一个用地意向者的，可以协议方式供应。国有建设用地使用权作价出资或者入股的使用年限，应与政府和社会资本合作期限相一致，但不得超过对应用途土地使用权出让法定最高年限。加快修订《划拨用地目录》，缩小划拨用地范围。</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完善国有企事业单位改制建设用地资产处置政策。事业单位等改制为企业的，其使用的原划拨建设用地，改制后不符合划拨用地法定范围的，应按有偿使用方式进行土地资产处置，符合划拨用地法定范围的，可继续以划拨方式使用，也可依申请按有偿使用方式进行土地资产处置。上述单位改制土地资产划转的权限和程序按照分类推进事业单位改革国有资产处置的相关规定办理;土地资产处置的权限和程序参照国有企业改制土地资产处置相关规定办理。政府机构、事业单位和国有独资企业之间划转国有建设用地使用权，划转后符合《划拨用地目录》保留划拨方式使用的，可直接办理土地转移登记手续；需有偿使用的，划入方应持相关土地资产划转批准文件等，先办理有偿用地手续，再一并办理土地转移登记和变更登记手续。</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三、规范推进国有农用地使用制度改革 </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加强国有农用地确权登记工作。以承包经营以外的合法方式使用国有农用地的国有农场、草场以及使用国家所有的水域、滩涂等农用地进行农业生产，申请国有农用地使用权登记的，可按相关批准用地文件，根据权利取得方式的不同，明确处置方式，参照《不动产登记暂行条例实施细则》（国土资源部令第63号）有关规定，分别办理国有农用地划拨、出让、租赁、作价出资或者入股、授权经营使用权登记手续。</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二）规范国有农用地使用管理。使用国有农用地不得擅自改变土地用途，耕地、林地、草地等农业用途之间相互转换的，应依法依规进行,具体管理办法由国务院相关部门共同制定。国有农用地的有偿使用，严格限定在农垦改革的范围内。农垦企业改革改制中涉及的国有农用地，国家以划拨方式处置的，使用权人可以承包租赁；国家以出让、作价出资或者入股、授权经营方式处置的，考虑农业生产经营特点，合理确定使用年限，最高使用年限不得超过50年，在使用期限内，使用权人可以承包租赁、转让、出租、抵押。国家以租赁方式处置的，使用权人可以再出租。按照严格保护为主的原则，依法规范国有林地使用管理。改变国有农用地权属及农业用途之间相互转换的，应当办理不动产登记手续。</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三）明确国有农场、牧场改革国有农用地资产处置政策。国有农场、牧场改制，应由改制单位提出改制方案，按资产隶属关系向主管部门提出申请，主管部门提出明确意见并征求同级国土资源、发展改革、财政等相关部门意见后，报同级政府批准。对属于省级以上政府批准实行国有资产授权经营的国有独资企业或公司的国有农场、国有牧场等，其涉及国有农用地需以作价出资或者入股、授权经营及划拨方式处置的，由同级国土资源主管部门根据政府批准文件进行土地资产处置。改制单位涉及土地已实行有偿使用或需转为出让或租赁土地使用权的，直接到土地所在地市、县国土资源主管部门申请办理变更登记或有偿用地手续。</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四）完善国有农用地土地等级价体系。开展基于土地调查的农用地等别调查评价与监测工作，定期更新草地、耕地等农用地土地等别数据库。完善农用地定级和估价规程，部署开展农用地定级试点，稳步推进农用地基准地价制定和发布工作，及时反映农用地价格变化。加强农用地价格评估与管理，显化维护国有农用地资产。</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四、严格国有土地开发利用和供应管理 </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一）严格生态用地保护。按照有度有序利用自然、调整优化空间结构的原则，严格管控土地资源开发利用，促进人与自然和谐共生。对国家相关法律法规和规划明确禁止开发的区域，严禁以任何名义和方式供应国有土地，用于与保护无关的建设项目。</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二）规范国有土地使用权作价出资或者入股、授权经营管理。作价出资或者入股土地使用权实行与出让土地使用权同权同价管理制度，依据不动产登记确认权属，可以转让、出租、抵押。国有企事业单位改制以作价出资或者入股、授权经营方式处置的国有建设用地，依据法律法规改变用途、容积率等规划条件的，应按相关规定调整补交出让金。</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三）改革完善国有建设用地供应方式。地方政府可依据国家产业政策，对工业用地采取先行以租赁方式提供用地，承租方投资工业项目达到约定条件后再转为出让的先租后让供应方式，或部分用地保持租赁、部分用地转为出让的租让结合供应方式。各地可根据实际情况，实行工业用地弹性年期出让政策。支持各地以土地使用权作价出资或者入股方式供应标准厂房、科技孵化器用地，为小型微型企业提供经营场所，促进大众创业、万众创新。</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四）规范国有土地使用权抵押管理。国有建设用地使用权抵押应按照物权法、担保法等相关法律法规的规定执行。农垦国有农用地使用权担保要按照《中共中央、国务院关于进一步推进农垦改革发展的意见》（中发〔2015〕33号）的部署，以试点的方式有序开展。</w:t>
      </w:r>
    </w:p>
    <w:p w:rsidR="005E0922" w:rsidRPr="005E0922" w:rsidRDefault="005E0922" w:rsidP="005E0922">
      <w:pPr>
        <w:widowControl/>
        <w:shd w:val="clear" w:color="auto" w:fill="FFFFFF"/>
        <w:spacing w:line="720" w:lineRule="atLeast"/>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各地区要认真落实本意见要求，加强指导支持，精心组织实施,切实做好扩大国有土地有偿使用范围各项工作。国土资源部将会同有关部门对本意见落实情况进行督促指导,重大事项及时向国务院报告。</w:t>
      </w:r>
    </w:p>
    <w:p w:rsidR="005E0922" w:rsidRPr="005E0922" w:rsidRDefault="005E0922" w:rsidP="005E0922">
      <w:pPr>
        <w:widowControl/>
        <w:shd w:val="clear" w:color="auto" w:fill="FFFFFF"/>
        <w:spacing w:line="720" w:lineRule="atLeast"/>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 xml:space="preserve">　　国土资源部 国家发展和改革委员会</w:t>
      </w:r>
    </w:p>
    <w:p w:rsidR="005E0922" w:rsidRPr="005E0922" w:rsidRDefault="005E0922" w:rsidP="005E0922">
      <w:pPr>
        <w:widowControl/>
        <w:shd w:val="clear" w:color="auto" w:fill="FFFFFF"/>
        <w:spacing w:line="720" w:lineRule="atLeast"/>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财政部 住房和城乡建设部农业部 中国人民银行</w:t>
      </w:r>
    </w:p>
    <w:p w:rsidR="005E0922" w:rsidRPr="005E0922" w:rsidRDefault="005E0922" w:rsidP="005E0922">
      <w:pPr>
        <w:widowControl/>
        <w:shd w:val="clear" w:color="auto" w:fill="FFFFFF"/>
        <w:spacing w:line="720" w:lineRule="atLeast"/>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国家林业局 中国银行业监督管理委员会</w:t>
      </w:r>
    </w:p>
    <w:p w:rsidR="005E0922" w:rsidRPr="005E0922" w:rsidRDefault="005E0922" w:rsidP="005E0922">
      <w:pPr>
        <w:widowControl/>
        <w:shd w:val="clear" w:color="auto" w:fill="FFFFFF"/>
        <w:spacing w:line="720" w:lineRule="atLeast"/>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2016年12月31日</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Pr>
        <w:pStyle w:val="3"/>
        <w:jc w:val="center"/>
        <w:rPr>
          <w:sz w:val="30"/>
          <w:szCs w:val="30"/>
        </w:rPr>
      </w:pPr>
      <w:bookmarkStart w:id="98" w:name="_Toc12864249"/>
      <w:r w:rsidRPr="005E0922">
        <w:rPr>
          <w:rFonts w:hint="eastAsia"/>
          <w:sz w:val="30"/>
          <w:szCs w:val="30"/>
        </w:rPr>
        <w:lastRenderedPageBreak/>
        <w:t>国务院关于印发土壤污染防治行动计划的通知（国发〔</w:t>
      </w:r>
      <w:r w:rsidRPr="005E0922">
        <w:rPr>
          <w:rFonts w:hint="eastAsia"/>
          <w:sz w:val="30"/>
          <w:szCs w:val="30"/>
        </w:rPr>
        <w:t>2016</w:t>
      </w:r>
      <w:r w:rsidRPr="005E0922">
        <w:rPr>
          <w:rFonts w:hint="eastAsia"/>
          <w:sz w:val="30"/>
          <w:szCs w:val="30"/>
        </w:rPr>
        <w:t>〕</w:t>
      </w:r>
      <w:r w:rsidRPr="005E0922">
        <w:rPr>
          <w:rFonts w:hint="eastAsia"/>
          <w:sz w:val="30"/>
          <w:szCs w:val="30"/>
        </w:rPr>
        <w:t>31</w:t>
      </w:r>
      <w:r w:rsidRPr="005E0922">
        <w:rPr>
          <w:rFonts w:hint="eastAsia"/>
          <w:sz w:val="30"/>
          <w:szCs w:val="30"/>
        </w:rPr>
        <w:t>号）</w:t>
      </w:r>
      <w:bookmarkEnd w:id="98"/>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各省、自治区、直辖市人民政府，国务院各部委、各直属机构：</w:t>
      </w:r>
      <w:r w:rsidRPr="005E0922">
        <w:rPr>
          <w:rFonts w:ascii="微软雅黑" w:eastAsia="微软雅黑" w:hAnsi="微软雅黑" w:cs="宋体" w:hint="eastAsia"/>
          <w:color w:val="000000"/>
          <w:kern w:val="0"/>
          <w:sz w:val="27"/>
          <w:szCs w:val="27"/>
        </w:rPr>
        <w:br/>
        <w:t xml:space="preserve">　　现将《土壤污染防治行动计划》印发给你们，请认真贯彻执行。</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国务院　　</w:t>
      </w:r>
      <w:r w:rsidRPr="005E0922">
        <w:rPr>
          <w:rFonts w:ascii="微软雅黑" w:eastAsia="微软雅黑" w:hAnsi="微软雅黑" w:cs="宋体" w:hint="eastAsia"/>
          <w:color w:val="000000"/>
          <w:kern w:val="0"/>
          <w:sz w:val="27"/>
          <w:szCs w:val="27"/>
        </w:rPr>
        <w:br/>
        <w:t xml:space="preserve">　　　　　　　　　　　　　　　　　　　　　　　　　　　　 2016年5月28日</w:t>
      </w:r>
      <w:r w:rsidRPr="005E0922">
        <w:rPr>
          <w:rFonts w:ascii="微软雅黑" w:eastAsia="微软雅黑" w:hAnsi="微软雅黑" w:cs="宋体" w:hint="eastAsia"/>
          <w:color w:val="000000"/>
          <w:kern w:val="0"/>
          <w:sz w:val="27"/>
          <w:szCs w:val="27"/>
        </w:rPr>
        <w:br/>
        <w:t xml:space="preserve">　　（此件公开发布）</w:t>
      </w:r>
    </w:p>
    <w:p w:rsidR="005E0922" w:rsidRPr="005E0922" w:rsidRDefault="005E0922" w:rsidP="005E0922">
      <w:pPr>
        <w:widowControl/>
        <w:shd w:val="clear" w:color="auto" w:fill="FFFFFF"/>
        <w:spacing w:after="1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w:t>
      </w:r>
    </w:p>
    <w:p w:rsidR="005E0922" w:rsidRPr="005E0922" w:rsidRDefault="005E0922" w:rsidP="005E0922">
      <w:pPr>
        <w:widowControl/>
        <w:shd w:val="clear" w:color="auto" w:fill="FFFFFF"/>
        <w:jc w:val="center"/>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土壤污染防治行动计划</w:t>
      </w:r>
    </w:p>
    <w:p w:rsidR="005E0922" w:rsidRPr="005E0922" w:rsidRDefault="005E0922" w:rsidP="005E0922">
      <w:pPr>
        <w:widowControl/>
        <w:shd w:val="clear" w:color="auto" w:fill="FFFFFF"/>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 xml:space="preserve">　　土壤是经济社会可持续发展的物质基础，关系人民群众身体健康，关系美丽中国建设，保护好土壤环境是推进生态文明建设和维护国家生态安全的重要内容。当前，我国土壤环境总体状况堪忧，部分地区污染较为严重，已成为全面建成小康社会的突出短板之一。为切实加强土壤污染防治，逐步改善土壤环境质量，制定本行动计划。</w:t>
      </w:r>
      <w:r w:rsidRPr="005E0922">
        <w:rPr>
          <w:rFonts w:ascii="微软雅黑" w:eastAsia="微软雅黑" w:hAnsi="微软雅黑" w:cs="宋体" w:hint="eastAsia"/>
          <w:color w:val="000000"/>
          <w:kern w:val="0"/>
          <w:sz w:val="27"/>
          <w:szCs w:val="27"/>
        </w:rPr>
        <w:br/>
        <w:t xml:space="preserve">　　总体要求：全面贯彻党的十八大和十八届三中、四中、五中全会精神，按照“五位一体”总体布局和“四个全面”战略布局，牢固树立创新、协调、绿色、开放、共享的新发展理念，认真落实党中央、国务院决策部署，立足我国国情和发展阶段，着眼经济社会发展全局，以改善土壤环境质量为核心，以保障农产品质量和人居环境安全为出发点，坚</w:t>
      </w:r>
      <w:r w:rsidRPr="005E0922">
        <w:rPr>
          <w:rFonts w:ascii="微软雅黑" w:eastAsia="微软雅黑" w:hAnsi="微软雅黑" w:cs="宋体" w:hint="eastAsia"/>
          <w:color w:val="000000"/>
          <w:kern w:val="0"/>
          <w:sz w:val="27"/>
          <w:szCs w:val="27"/>
        </w:rPr>
        <w:lastRenderedPageBreak/>
        <w:t>持预防为主、保护优先、风险管控，突出重点区域、行业和污染物，实施分类别、分用途、分阶段治理，严控新增污染、逐步减少存量，形成政府主导、企业担责、公众参与、社会监督的土壤污染防治体系，促进土壤资源永续利用，为建设“蓝天常在、青山常在、绿水常在”的美丽中国而奋斗。</w:t>
      </w:r>
      <w:r w:rsidRPr="005E0922">
        <w:rPr>
          <w:rFonts w:ascii="微软雅黑" w:eastAsia="微软雅黑" w:hAnsi="微软雅黑" w:cs="宋体" w:hint="eastAsia"/>
          <w:color w:val="000000"/>
          <w:kern w:val="0"/>
          <w:sz w:val="27"/>
          <w:szCs w:val="27"/>
        </w:rPr>
        <w:br/>
        <w:t xml:space="preserve">　　工作目标：到2020年，全国土壤污染加重趋势得到初步遏制，土壤环境质量总体保持稳定，农用地和建设用地土壤环境安全得到基本保障，土壤环境风险得到基本管控。到2030年，全国土壤环境质量稳中向好，农用地和建设用地土壤环境安全得到有效保障，土壤环境风险得到全面管控。到本世纪中叶，土壤环境质量全面改善，生态系统实现良性循环。</w:t>
      </w:r>
      <w:r w:rsidRPr="005E0922">
        <w:rPr>
          <w:rFonts w:ascii="微软雅黑" w:eastAsia="微软雅黑" w:hAnsi="微软雅黑" w:cs="宋体" w:hint="eastAsia"/>
          <w:color w:val="000000"/>
          <w:kern w:val="0"/>
          <w:sz w:val="27"/>
          <w:szCs w:val="27"/>
        </w:rPr>
        <w:br/>
        <w:t xml:space="preserve">　　主要指标：到2020年，受污染耕地安全利用率达到90%左右，污染地块安全利用率达到90%以上。到2030年，受污染耕地安全利用率达到95%以上，污染地块安全利用率达到95%以上。</w:t>
      </w:r>
      <w:r w:rsidRPr="005E0922">
        <w:rPr>
          <w:rFonts w:ascii="微软雅黑" w:eastAsia="微软雅黑" w:hAnsi="微软雅黑" w:cs="宋体" w:hint="eastAsia"/>
          <w:color w:val="000000"/>
          <w:kern w:val="0"/>
          <w:sz w:val="27"/>
          <w:szCs w:val="27"/>
        </w:rPr>
        <w:br/>
        <w:t xml:space="preserve">　　一、开展土壤污染调查，掌握土壤环境质量状况</w:t>
      </w:r>
      <w:r w:rsidRPr="005E0922">
        <w:rPr>
          <w:rFonts w:ascii="微软雅黑" w:eastAsia="微软雅黑" w:hAnsi="微软雅黑" w:cs="宋体" w:hint="eastAsia"/>
          <w:color w:val="000000"/>
          <w:kern w:val="0"/>
          <w:sz w:val="27"/>
          <w:szCs w:val="27"/>
        </w:rPr>
        <w:br/>
        <w:t xml:space="preserve">　　（一）深入开展土壤环境质量调查。在现有相关调查基础上，以农用地和重点行业企业用地为重点，开展土壤污染状况详查，2018年底前查明农用地土壤污染的面积、分布及其对农产品质量的影响；2020年底前掌握重点行业企业用地中的污染地块分布及其环境风险情况。制定详查总体方案和技术规定，开展技术指导、监督检查和成果审核。建立土壤环境质量状况定期调查制度，每10年开展1次。（环境保护部牵头，财政部、国土资源部、农业部、国家卫生计生委等参与，地方各</w:t>
      </w:r>
      <w:r w:rsidRPr="005E0922">
        <w:rPr>
          <w:rFonts w:ascii="微软雅黑" w:eastAsia="微软雅黑" w:hAnsi="微软雅黑" w:cs="宋体" w:hint="eastAsia"/>
          <w:color w:val="000000"/>
          <w:kern w:val="0"/>
          <w:sz w:val="27"/>
          <w:szCs w:val="27"/>
        </w:rPr>
        <w:lastRenderedPageBreak/>
        <w:t>级人民政府负责落实。以下均需地方各级人民政府落实，不再列出）</w:t>
      </w:r>
      <w:r w:rsidRPr="005E0922">
        <w:rPr>
          <w:rFonts w:ascii="微软雅黑" w:eastAsia="微软雅黑" w:hAnsi="微软雅黑" w:cs="宋体" w:hint="eastAsia"/>
          <w:color w:val="000000"/>
          <w:kern w:val="0"/>
          <w:sz w:val="27"/>
          <w:szCs w:val="27"/>
        </w:rPr>
        <w:br/>
        <w:t xml:space="preserve">　　（二）建设土壤环境质量监测网络。统一规划、整合优化土壤环境质量监测点位，2017年底前，完成土壤环境质量国控监测点位设置，建成国家土壤环境质量监测网络，充分发挥行业监测网作用，基本形成土壤环境监测能力。各省（区、市）每年至少开展1次土壤环境监测技术人员培训。各地可根据工作需要，补充设置监测点位，增加特征污染物监测项目，提高监测频次。2020年底前，实现土壤环境质量监测点位所有县（市、区）全覆盖。（环境保护部牵头，国家发展改革委、工业和信息化部、国土资源部、农业部等参与）</w:t>
      </w:r>
      <w:r w:rsidRPr="005E0922">
        <w:rPr>
          <w:rFonts w:ascii="微软雅黑" w:eastAsia="微软雅黑" w:hAnsi="微软雅黑" w:cs="宋体" w:hint="eastAsia"/>
          <w:color w:val="000000"/>
          <w:kern w:val="0"/>
          <w:sz w:val="27"/>
          <w:szCs w:val="27"/>
        </w:rPr>
        <w:br/>
        <w:t xml:space="preserve">　　（三）提升土壤环境信息化管理水平。利用环境保护、国土资源、农业等部门相关数据，建立土壤环境基础数据库，构建全国土壤环境信息化管理平台，力争2018年底前完成。借助移动互联网、物联网等技术，拓宽数据获取渠道，实现数据动态更新。加强数据共享，编制资源共享目录，明确共享权限和方式，发挥土壤环境大数据在污染防治、城乡规划、土地利用、农业生产中的作用。（环境保护部牵头，国家发展改革委、教育部、科技部、工业和信息化部、国土资源部、住房城乡建设部、农业部、国家卫生计生委、国家林业局等参与）</w:t>
      </w:r>
      <w:r w:rsidRPr="005E0922">
        <w:rPr>
          <w:rFonts w:ascii="微软雅黑" w:eastAsia="微软雅黑" w:hAnsi="微软雅黑" w:cs="宋体" w:hint="eastAsia"/>
          <w:color w:val="000000"/>
          <w:kern w:val="0"/>
          <w:sz w:val="27"/>
          <w:szCs w:val="27"/>
        </w:rPr>
        <w:br/>
        <w:t xml:space="preserve">　　二、推进土壤污染防治立法，建立健全法规标准体系</w:t>
      </w:r>
      <w:r w:rsidRPr="005E0922">
        <w:rPr>
          <w:rFonts w:ascii="微软雅黑" w:eastAsia="微软雅黑" w:hAnsi="微软雅黑" w:cs="宋体" w:hint="eastAsia"/>
          <w:color w:val="000000"/>
          <w:kern w:val="0"/>
          <w:sz w:val="27"/>
          <w:szCs w:val="27"/>
        </w:rPr>
        <w:br/>
        <w:t xml:space="preserve">　　（四）加快推进立法进程。配合完成土壤污染防治法起草工作。适时修订污染防治、城乡规划、土地管理、农产品质量安全相关法律法规，增加土壤污染防治有关内容。2016年底前，完成农药管理条例修订工作，发布污染地块土壤环境管理办法、农用地土壤环境管理办法。2017</w:t>
      </w:r>
      <w:r w:rsidRPr="005E0922">
        <w:rPr>
          <w:rFonts w:ascii="微软雅黑" w:eastAsia="微软雅黑" w:hAnsi="微软雅黑" w:cs="宋体" w:hint="eastAsia"/>
          <w:color w:val="000000"/>
          <w:kern w:val="0"/>
          <w:sz w:val="27"/>
          <w:szCs w:val="27"/>
        </w:rPr>
        <w:lastRenderedPageBreak/>
        <w:t>年底前，出台农药包装废弃物回收处理、工矿用地土壤环境管理、废弃农膜回收利用等部门规章。到2020年，土壤污染防治法律法规体系基本建立。各地可结合实际，研究制定土壤污染防治地方性法规。（国务院法制办、环境保护部牵头，工业和信息化部、国土资源部、住房城乡建设部、农业部、国家林业局等参与）</w:t>
      </w:r>
      <w:r w:rsidRPr="005E0922">
        <w:rPr>
          <w:rFonts w:ascii="微软雅黑" w:eastAsia="微软雅黑" w:hAnsi="微软雅黑" w:cs="宋体" w:hint="eastAsia"/>
          <w:color w:val="000000"/>
          <w:kern w:val="0"/>
          <w:sz w:val="27"/>
          <w:szCs w:val="27"/>
        </w:rPr>
        <w:br/>
        <w:t xml:space="preserve">　　（五）系统构建标准体系。健全土壤污染防治相关标准和技术规范。2017年底前，发布农用地、建设用地土壤环境质量标准；完成土壤环境监测、调查评估、风险管控、治理与修复等技术规范以及环境影响评价技术导则制修订工作；修订肥料、饲料、灌溉用水中有毒有害物质限量和农用污泥中污染物控制等标准，进一步严格污染物控制要求；修订农膜标准，提高厚度要求，研究制定可降解农膜标准；修订农药包装标准，增加防止农药包装废弃物污染土壤的要求。适时修订污染物排放标准，进一步明确污染物特别排放限值要求。完善土壤中污染物分析测试方法，研制土壤环境标准样品。各地可制定严于国家标准的地方土壤环境质量标准。（环境保护部牵头，工业和信息化部、国土资源部、住房城乡建设部、水利部、农业部、质检总局、国家林业局等参与）</w:t>
      </w:r>
      <w:r w:rsidRPr="005E0922">
        <w:rPr>
          <w:rFonts w:ascii="微软雅黑" w:eastAsia="微软雅黑" w:hAnsi="微软雅黑" w:cs="宋体" w:hint="eastAsia"/>
          <w:color w:val="000000"/>
          <w:kern w:val="0"/>
          <w:sz w:val="27"/>
          <w:szCs w:val="27"/>
        </w:rPr>
        <w:br/>
        <w:t xml:space="preserve">　　（六）全面强化监管执法。明确监管重点。重点监测土壤中镉、汞、砷、铅、铬等重金属和多环芳烃、石油烃等有机污染物，重点监管有色金属矿采选、有色金属冶炼、石油开采、石油加工、化工、焦化、电镀、制革等行业，以及产粮（油）大县、地级以上城市建成区等区域。（环境保护部牵头，工业和信息化部、国土资源部、住房城乡建设部、农业部等参与）</w:t>
      </w:r>
      <w:r w:rsidRPr="005E0922">
        <w:rPr>
          <w:rFonts w:ascii="微软雅黑" w:eastAsia="微软雅黑" w:hAnsi="微软雅黑" w:cs="宋体" w:hint="eastAsia"/>
          <w:color w:val="000000"/>
          <w:kern w:val="0"/>
          <w:sz w:val="27"/>
          <w:szCs w:val="27"/>
        </w:rPr>
        <w:br/>
      </w:r>
      <w:r w:rsidRPr="005E0922">
        <w:rPr>
          <w:rFonts w:ascii="微软雅黑" w:eastAsia="微软雅黑" w:hAnsi="微软雅黑" w:cs="宋体" w:hint="eastAsia"/>
          <w:color w:val="000000"/>
          <w:kern w:val="0"/>
          <w:sz w:val="27"/>
          <w:szCs w:val="27"/>
        </w:rPr>
        <w:lastRenderedPageBreak/>
        <w:t xml:space="preserve">　　加大执法力度。将土壤污染防治作为环境执法的重要内容，充分利用环境监管网格，加强土壤环境日常监管执法。严厉打击非法排放有毒有害污染物、违法违规存放危险化学品、非法处置危险废物、不正常使用污染治理设施、监测数据弄虚作假等环境违法行为。开展重点行业企业专项环境执法，对严重污染土壤环境、群众反映强烈的企业进行挂牌督办。改善基层环境执法条件，配备必要的土壤污染快速检测等执法装备。对全国环境执法人员每3年开展1轮土壤污染防治专业技术培训。提高突发环境事件应急能力，完善各级环境污染事件应急预案，加强环境应急管理、技术支撑、处置救援能力建设。（环境保护部牵头，工业和信息化部、公安部、国土资源部、住房城乡建设部、农业部、安全监管总局、国家林业局等参与）</w:t>
      </w:r>
      <w:r w:rsidRPr="005E0922">
        <w:rPr>
          <w:rFonts w:ascii="微软雅黑" w:eastAsia="微软雅黑" w:hAnsi="微软雅黑" w:cs="宋体" w:hint="eastAsia"/>
          <w:color w:val="000000"/>
          <w:kern w:val="0"/>
          <w:sz w:val="27"/>
          <w:szCs w:val="27"/>
        </w:rPr>
        <w:br/>
        <w:t xml:space="preserve">　　三、实施农用地分类管理，保障农业生产环境安全</w:t>
      </w:r>
      <w:r w:rsidRPr="005E0922">
        <w:rPr>
          <w:rFonts w:ascii="微软雅黑" w:eastAsia="微软雅黑" w:hAnsi="微软雅黑" w:cs="宋体" w:hint="eastAsia"/>
          <w:color w:val="000000"/>
          <w:kern w:val="0"/>
          <w:sz w:val="27"/>
          <w:szCs w:val="27"/>
        </w:rPr>
        <w:br/>
        <w:t xml:space="preserve">　　（七）划定农用地土壤环境质量类别。按污染程度将农用地划为三个类别，未污染和轻微污染的划为优先保护类，轻度和中度污染的划为安全利用类，重度污染的划为严格管控类，以耕地为重点，分别采取相应管理措施，保障农产品质量安全。2017年底前，发布农用地土壤环境质量类别划分技术指南。以土壤污染状况详查结果为依据，开展耕地土壤和农产品协同监测与评价，在试点基础上有序推进耕地土壤环境质量类别划定，逐步建立分类清单，2020年底前完成。划定结果由各省级人民政府审定，数据上传全国土壤环境信息化管理平台。根据土地利用变更和土壤环境质量变化情况，定期对各类别耕地面积、分布等信息进行更新。有条件的地区要逐步开展林地、草地、园地等其他农用地土</w:t>
      </w:r>
      <w:r w:rsidRPr="005E0922">
        <w:rPr>
          <w:rFonts w:ascii="微软雅黑" w:eastAsia="微软雅黑" w:hAnsi="微软雅黑" w:cs="宋体" w:hint="eastAsia"/>
          <w:color w:val="000000"/>
          <w:kern w:val="0"/>
          <w:sz w:val="27"/>
          <w:szCs w:val="27"/>
        </w:rPr>
        <w:lastRenderedPageBreak/>
        <w:t>壤环境质量类别划定等工作。（环境保护部、农业部牵头，国土资源部、国家林业局等参与）</w:t>
      </w:r>
      <w:r w:rsidRPr="005E0922">
        <w:rPr>
          <w:rFonts w:ascii="微软雅黑" w:eastAsia="微软雅黑" w:hAnsi="微软雅黑" w:cs="宋体" w:hint="eastAsia"/>
          <w:color w:val="000000"/>
          <w:kern w:val="0"/>
          <w:sz w:val="27"/>
          <w:szCs w:val="27"/>
        </w:rPr>
        <w:br/>
        <w:t xml:space="preserve">　　（八）切实加大保护力度。各地要将符合条件的优先保护类耕地划为永久基本农田，实行严格保护，确保其面积不减少、土壤环境质量不下降，除法律规定的重点建设项目选址确实无法避让外，其他任何建设不得占用。产粮（油）大县要制定土壤环境保护方案。高标准农田建设项目向优先保护类耕地集中的地区倾斜。推行秸秆还田、增施有机肥、少耕免耕、粮豆轮作、农膜减量与回收利用等措施。继续开展黑土地保护利用试点。农村土地流转的受让方要履行土壤保护的责任，避免因过度施肥、滥用农药等掠夺式农业生产方式造成土壤环境质量下降。各省级人民政府要对本行政区域内优先保护类耕地面积减少或土壤环境质量下降的县（市、区），进行预警提醒并依法采取环评限批等限制性措施。（国土资源部、农业部牵头，国家发展改革委、环境保护部、水利部等参与）</w:t>
      </w:r>
      <w:r w:rsidRPr="005E0922">
        <w:rPr>
          <w:rFonts w:ascii="微软雅黑" w:eastAsia="微软雅黑" w:hAnsi="微软雅黑" w:cs="宋体" w:hint="eastAsia"/>
          <w:color w:val="000000"/>
          <w:kern w:val="0"/>
          <w:sz w:val="27"/>
          <w:szCs w:val="27"/>
        </w:rPr>
        <w:br/>
        <w:t xml:space="preserve">　　防控企业污染。严格控制在优先保护类耕地集中区域新建有色金属冶炼、石油加工、化工、焦化、电镀、制革等行业企业，现有相关行业企业要采用新技术、新工艺，加快提标升级改造步伐。（环境保护部、国家发展改革委牵头，工业和信息化部参与）</w:t>
      </w:r>
      <w:r w:rsidRPr="005E0922">
        <w:rPr>
          <w:rFonts w:ascii="微软雅黑" w:eastAsia="微软雅黑" w:hAnsi="微软雅黑" w:cs="宋体" w:hint="eastAsia"/>
          <w:color w:val="000000"/>
          <w:kern w:val="0"/>
          <w:sz w:val="27"/>
          <w:szCs w:val="27"/>
        </w:rPr>
        <w:br/>
        <w:t xml:space="preserve">　　（九）着力推进安全利用。根据土壤污染状况和农产品超标情况，安全利用类耕地集中的县（市、区）要结合当地主要作物品种和种植习惯，制定实施受污染耕地安全利用方案，采取农艺调控、替代种植等措施，降低农产品超标风险。强化农产品质量检测。加强对农民、农民合</w:t>
      </w:r>
      <w:r w:rsidRPr="005E0922">
        <w:rPr>
          <w:rFonts w:ascii="微软雅黑" w:eastAsia="微软雅黑" w:hAnsi="微软雅黑" w:cs="宋体" w:hint="eastAsia"/>
          <w:color w:val="000000"/>
          <w:kern w:val="0"/>
          <w:sz w:val="27"/>
          <w:szCs w:val="27"/>
        </w:rPr>
        <w:lastRenderedPageBreak/>
        <w:t>作社的技术指导和培训。2017年底前，出台受污染耕地安全利用技术指南。到2020年，轻度和中度污染耕地实现安全利用的面积达到4000万亩。（农业部牵头，国土资源部等参与）</w:t>
      </w:r>
      <w:r w:rsidRPr="005E0922">
        <w:rPr>
          <w:rFonts w:ascii="微软雅黑" w:eastAsia="微软雅黑" w:hAnsi="微软雅黑" w:cs="宋体" w:hint="eastAsia"/>
          <w:color w:val="000000"/>
          <w:kern w:val="0"/>
          <w:sz w:val="27"/>
          <w:szCs w:val="27"/>
        </w:rPr>
        <w:br/>
        <w:t xml:space="preserve">　　（十）全面落实严格管控。加强对严格管控类耕地的用途管理，依法划定特定农产品禁止生产区域，严禁种植食用农产品；对威胁地下水、饮用水水源安全的，有关县（市、区）要制定环境风险管控方案，并落实有关措施。研究将严格管控类耕地纳入国家新一轮退耕还林还草实施范围，制定实施重度污染耕地种植结构调整或退耕还林还草计划。继续在湖南长株潭地区开展重金属污染耕地修复及农作物种植结构调整试点。实行耕地轮作休耕制度试点。到2020年，重度污染耕地种植结构调整或退耕还林还草面积力争达到2000万亩。（农业部牵头，国家发展改革委、财政部、国土资源部、环境保护部、水利部、国家林业局参与）</w:t>
      </w:r>
      <w:r w:rsidRPr="005E0922">
        <w:rPr>
          <w:rFonts w:ascii="微软雅黑" w:eastAsia="微软雅黑" w:hAnsi="微软雅黑" w:cs="宋体" w:hint="eastAsia"/>
          <w:color w:val="000000"/>
          <w:kern w:val="0"/>
          <w:sz w:val="27"/>
          <w:szCs w:val="27"/>
        </w:rPr>
        <w:br/>
        <w:t xml:space="preserve">　　（十一）加强林地草地园地土壤环境管理。严格控制林地、草地、园地的农药使用量，禁止使用高毒、高残留农药。完善生物农药、引诱剂管理制度，加大使用推广力度。优先将重度污染的牧草地集中区域纳入禁牧休牧实施范围。加强对重度污染林地、园地产出食用农（林）产品质量检测，发现超标的，要采取种植结构调整等措施。（农业部、国家林业局负责）</w:t>
      </w:r>
      <w:r w:rsidRPr="005E0922">
        <w:rPr>
          <w:rFonts w:ascii="微软雅黑" w:eastAsia="微软雅黑" w:hAnsi="微软雅黑" w:cs="宋体" w:hint="eastAsia"/>
          <w:color w:val="000000"/>
          <w:kern w:val="0"/>
          <w:sz w:val="27"/>
          <w:szCs w:val="27"/>
        </w:rPr>
        <w:br/>
        <w:t xml:space="preserve">　　四、实施建设用地准入管理，防范人居环境风险</w:t>
      </w:r>
      <w:r w:rsidRPr="005E0922">
        <w:rPr>
          <w:rFonts w:ascii="微软雅黑" w:eastAsia="微软雅黑" w:hAnsi="微软雅黑" w:cs="宋体" w:hint="eastAsia"/>
          <w:color w:val="000000"/>
          <w:kern w:val="0"/>
          <w:sz w:val="27"/>
          <w:szCs w:val="27"/>
        </w:rPr>
        <w:br/>
        <w:t xml:space="preserve">　　（十二）明确管理要求。建立调查评估制度。2016年底前，发布建设用地土壤环境调查评估技术规定。自2017年起，对拟收回土地使</w:t>
      </w:r>
      <w:r w:rsidRPr="005E0922">
        <w:rPr>
          <w:rFonts w:ascii="微软雅黑" w:eastAsia="微软雅黑" w:hAnsi="微软雅黑" w:cs="宋体" w:hint="eastAsia"/>
          <w:color w:val="000000"/>
          <w:kern w:val="0"/>
          <w:sz w:val="27"/>
          <w:szCs w:val="27"/>
        </w:rPr>
        <w:lastRenderedPageBreak/>
        <w:t>用权的有色金属冶炼、石油加工、化工、焦化、电镀、制革等行业企业用地，以及用途拟变更为居住和商业、学校、医疗、养老机构等公共设施的上述企业用地，由土地使用权人负责开展土壤环境状况调查评估；已经收回的，由所在地市、县级人民政府负责开展调查评估。自2018年起，重度污染农用地转为城镇建设用地的，由所在地市、县级人民政府负责组织开展调查评估。调查评估结果向所在地环境保护、城乡规划、国土资源部门备案。（环境保护部牵头，国土资源部、住房城乡建设部参与）</w:t>
      </w:r>
      <w:r w:rsidRPr="005E0922">
        <w:rPr>
          <w:rFonts w:ascii="微软雅黑" w:eastAsia="微软雅黑" w:hAnsi="微软雅黑" w:cs="宋体" w:hint="eastAsia"/>
          <w:color w:val="000000"/>
          <w:kern w:val="0"/>
          <w:sz w:val="27"/>
          <w:szCs w:val="27"/>
        </w:rPr>
        <w:br/>
        <w:t xml:space="preserve">　　分用途明确管理措施。自2017年起，各地要结合土壤污染状况详查情况，根据建设用地土壤环境调查评估结果，逐步建立污染地块名录及其开发利用的负面清单，合理确定土地用途。符合相应规划用地土壤环境质量要求的地块，可进入用地程序。暂不开发利用或现阶段不具备治理修复条件的污染地块，由所在地县级人民政府组织划定管控区域，设立标识，发布公告，开展土壤、地表水、地下水、空气环境监测；发现污染扩散的，有关责任主体要及时采取污染物隔离、阻断等环境风险管控措施。（国土资源部牵头，环境保护部、住房城乡建设部、水利部等参与）</w:t>
      </w:r>
      <w:r w:rsidRPr="005E0922">
        <w:rPr>
          <w:rFonts w:ascii="微软雅黑" w:eastAsia="微软雅黑" w:hAnsi="微软雅黑" w:cs="宋体" w:hint="eastAsia"/>
          <w:color w:val="000000"/>
          <w:kern w:val="0"/>
          <w:sz w:val="27"/>
          <w:szCs w:val="27"/>
        </w:rPr>
        <w:br/>
        <w:t xml:space="preserve">　　（十三）落实监管责任。地方各级城乡规划部门要结合土壤环境质量状况，加强城乡规划论证和审批管理。地方各级国土资源部门要依据土地利用总体规划、城乡规划和地块土壤环境质量状况，加强土地征收、收回、收购以及转让、改变用途等环节的监管。地方各级环境保护部门要加强对建设用地土壤环境状况调查、风险评估和污染地块治理与修复</w:t>
      </w:r>
      <w:r w:rsidRPr="005E0922">
        <w:rPr>
          <w:rFonts w:ascii="微软雅黑" w:eastAsia="微软雅黑" w:hAnsi="微软雅黑" w:cs="宋体" w:hint="eastAsia"/>
          <w:color w:val="000000"/>
          <w:kern w:val="0"/>
          <w:sz w:val="27"/>
          <w:szCs w:val="27"/>
        </w:rPr>
        <w:lastRenderedPageBreak/>
        <w:t>活动的监管。建立城乡规划、国土资源、环境保护等部门间的信息沟通机制，实行联动监管。（国土资源部、环境保护部、住房城乡建设部负责）</w:t>
      </w:r>
      <w:r w:rsidRPr="005E0922">
        <w:rPr>
          <w:rFonts w:ascii="微软雅黑" w:eastAsia="微软雅黑" w:hAnsi="微软雅黑" w:cs="宋体" w:hint="eastAsia"/>
          <w:color w:val="000000"/>
          <w:kern w:val="0"/>
          <w:sz w:val="27"/>
          <w:szCs w:val="27"/>
        </w:rPr>
        <w:br/>
        <w:t xml:space="preserve">　　（十四）严格用地准入。将建设用地土壤环境管理要求纳入城市规划和供地管理，土地开发利用必须符合土壤环境质量要求。地方各级国土资源、城乡规划等部门在编制土地利用总体规划、城市总体规划、控制性详细规划等相关规划时，应充分考虑污染地块的环境风险，合理确定土地用途。（国土资源部、住房城乡建设部牵头，环境保护部参与）</w:t>
      </w:r>
      <w:r w:rsidRPr="005E0922">
        <w:rPr>
          <w:rFonts w:ascii="微软雅黑" w:eastAsia="微软雅黑" w:hAnsi="微软雅黑" w:cs="宋体" w:hint="eastAsia"/>
          <w:color w:val="000000"/>
          <w:kern w:val="0"/>
          <w:sz w:val="27"/>
          <w:szCs w:val="27"/>
        </w:rPr>
        <w:br/>
        <w:t xml:space="preserve">　　五、强化未污染土壤保护，严控新增土壤污染</w:t>
      </w:r>
      <w:r w:rsidRPr="005E0922">
        <w:rPr>
          <w:rFonts w:ascii="微软雅黑" w:eastAsia="微软雅黑" w:hAnsi="微软雅黑" w:cs="宋体" w:hint="eastAsia"/>
          <w:color w:val="000000"/>
          <w:kern w:val="0"/>
          <w:sz w:val="27"/>
          <w:szCs w:val="27"/>
        </w:rPr>
        <w:br/>
        <w:t xml:space="preserve">　　（十五）加强未利用地环境管理。按照科学有序原则开发利用未利用地，防止造成土壤污染。拟开发为农用地的，有关县（市、区）人民政府要组织开展土壤环境质量状况评估；不符合相应标准的，不得种植食用农产品。各地要加强纳入耕地后备资源的未利用地保护，定期开展巡查。依法严查向沙漠、滩涂、盐碱地、沼泽地等非法排污、倾倒有毒有害物质的环境违法行为。加强对矿山、油田等矿产资源开采活动影响区域内未利用地的环境监管，发现土壤污染问题的，要及时督促有关企业采取防治措施。推动盐碱地土壤改良，自2017年起，在新疆生产建设兵团等地开展利用燃煤电厂脱硫石膏改良盐碱地试点。（环境保护部、国土资源部牵头，国家发展改革委、公安部、水利部、农业部、国家林业局等参与）</w:t>
      </w:r>
      <w:r w:rsidRPr="005E0922">
        <w:rPr>
          <w:rFonts w:ascii="微软雅黑" w:eastAsia="微软雅黑" w:hAnsi="微软雅黑" w:cs="宋体" w:hint="eastAsia"/>
          <w:color w:val="000000"/>
          <w:kern w:val="0"/>
          <w:sz w:val="27"/>
          <w:szCs w:val="27"/>
        </w:rPr>
        <w:br/>
        <w:t xml:space="preserve">　　（十六）防范建设用地新增污染。排放重点污染物的建设项目，在开展环境影响评价时，要增加对土壤环境影响的评价内容，并提出防范</w:t>
      </w:r>
      <w:r w:rsidRPr="005E0922">
        <w:rPr>
          <w:rFonts w:ascii="微软雅黑" w:eastAsia="微软雅黑" w:hAnsi="微软雅黑" w:cs="宋体" w:hint="eastAsia"/>
          <w:color w:val="000000"/>
          <w:kern w:val="0"/>
          <w:sz w:val="27"/>
          <w:szCs w:val="27"/>
        </w:rPr>
        <w:lastRenderedPageBreak/>
        <w:t>土壤污染的具体措施；需要建设的土壤污染防治设施，要与主体工程同时设计、同时施工、同时投产使用；有关环境保护部门要做好有关措施落实情况的监督管理工作。自2017年起，有关地方人民政府要与重点行业企业签订土壤污染防治责任书，明确相关措施和责任，责任书向社会公开。（环境保护部负责）</w:t>
      </w:r>
      <w:r w:rsidRPr="005E0922">
        <w:rPr>
          <w:rFonts w:ascii="微软雅黑" w:eastAsia="微软雅黑" w:hAnsi="微软雅黑" w:cs="宋体" w:hint="eastAsia"/>
          <w:color w:val="000000"/>
          <w:kern w:val="0"/>
          <w:sz w:val="27"/>
          <w:szCs w:val="27"/>
        </w:rPr>
        <w:br/>
        <w:t xml:space="preserve">　　（十七）强化空间布局管控。加强规划区划和建设项目布局论证，根据土壤等环境承载能力，合理确定区域功能定位、空间布局。鼓励工业企业集聚发展，提高土地节约集约利用水平，减少土壤污染。严格执行相关行业企业布局选址要求，禁止在居民区、学校、医疗和养老机构等周边新建有色金属冶炼、焦化等行业企业；结合推进新型城镇化、产业结构调整和化解过剩产能等，有序搬迁或依法关闭对土壤造成严重污染的现有企业。结合区域功能定位和土壤污染防治需要，科学布局生活垃圾处理、危险废物处置、废旧资源再生利用等设施和场所，合理确定畜禽养殖布局和规模。（国家发展改革委牵头，工业和信息化部、国土资源部、环境保护部、住房城乡建设部、水利部、农业部、国家林业局等参与）</w:t>
      </w:r>
      <w:r w:rsidRPr="005E0922">
        <w:rPr>
          <w:rFonts w:ascii="微软雅黑" w:eastAsia="微软雅黑" w:hAnsi="微软雅黑" w:cs="宋体" w:hint="eastAsia"/>
          <w:color w:val="000000"/>
          <w:kern w:val="0"/>
          <w:sz w:val="27"/>
          <w:szCs w:val="27"/>
        </w:rPr>
        <w:br/>
        <w:t xml:space="preserve">　　六、加强污染源监管，做好土壤污染预防工作</w:t>
      </w:r>
      <w:r w:rsidRPr="005E0922">
        <w:rPr>
          <w:rFonts w:ascii="微软雅黑" w:eastAsia="微软雅黑" w:hAnsi="微软雅黑" w:cs="宋体" w:hint="eastAsia"/>
          <w:color w:val="000000"/>
          <w:kern w:val="0"/>
          <w:sz w:val="27"/>
          <w:szCs w:val="27"/>
        </w:rPr>
        <w:br/>
        <w:t xml:space="preserve">　　（十八）严控工矿污染。加强日常环境监管。各地要根据工矿企业分布和污染排放情况，确定土壤环境重点监管企业名单，实行动态更新，并向社会公布。列入名单的企业每年要自行对其用地进行土壤环境监测，结果向社会公开。有关环境保护部门要定期对重点监管企业和工业园区周边开展监测，数据及时上传全国土壤环境信息化管理平台，结果作为</w:t>
      </w:r>
      <w:r w:rsidRPr="005E0922">
        <w:rPr>
          <w:rFonts w:ascii="微软雅黑" w:eastAsia="微软雅黑" w:hAnsi="微软雅黑" w:cs="宋体" w:hint="eastAsia"/>
          <w:color w:val="000000"/>
          <w:kern w:val="0"/>
          <w:sz w:val="27"/>
          <w:szCs w:val="27"/>
        </w:rPr>
        <w:lastRenderedPageBreak/>
        <w:t>环境执法和风险预警的重要依据。适时修订国家鼓励的有毒有害原料（产品）替代品目录。加强电器电子、汽车等工业产品中有害物质控制。有色金属冶炼、石油加工、化工、焦化、电镀、制革等行业企业拆除生产设施设备、构筑物和污染治理设施，要事先制定残留污染物清理和安全处置方案，并报所在地县级环境保护、工业和信息化部门备案；要严格按照有关规定实施安全处理处置，防范拆除活动污染土壤。2017年底前，发布企业拆除活动污染防治技术规定。（环境保护部、工业和信息化部负责）</w:t>
      </w:r>
      <w:r w:rsidRPr="005E0922">
        <w:rPr>
          <w:rFonts w:ascii="微软雅黑" w:eastAsia="微软雅黑" w:hAnsi="微软雅黑" w:cs="宋体" w:hint="eastAsia"/>
          <w:color w:val="000000"/>
          <w:kern w:val="0"/>
          <w:sz w:val="27"/>
          <w:szCs w:val="27"/>
        </w:rPr>
        <w:br/>
        <w:t xml:space="preserve">　　严防矿产资源开发污染土壤。自2017年起，内蒙古、江西、河南、湖北、湖南、广东、广西、四川、贵州、云南、陕西、甘肃、新疆等省（区）矿产资源开发活动集中的区域，执行重点污染物特别排放限值。全面整治历史遗留尾矿库，完善覆膜、压土、排洪、堤坝加固等隐患治理和闭库措施。有重点监管尾矿库的企业要开展环境风险评估，完善污染治理设施，储备应急物资。加强对矿产资源开发利用活动的辐射安全监管，有关企业每年要对本矿区土壤进行辐射环境监测。（环境保护部、安全监管总局牵头，工业和信息化部、国土资源部参与）</w:t>
      </w:r>
      <w:r w:rsidRPr="005E0922">
        <w:rPr>
          <w:rFonts w:ascii="微软雅黑" w:eastAsia="微软雅黑" w:hAnsi="微软雅黑" w:cs="宋体" w:hint="eastAsia"/>
          <w:color w:val="000000"/>
          <w:kern w:val="0"/>
          <w:sz w:val="27"/>
          <w:szCs w:val="27"/>
        </w:rPr>
        <w:br/>
        <w:t xml:space="preserve">　　加强涉重金属行业污染防控。严格执行重金属污染物排放标准并落实相关总量控制指标，加大监督检查力度，对整改后仍不达标的企业，依法责令其停业、关闭，并将企业名单向社会公开。继续淘汰涉重金属重点行业落后产能，完善重金属相关行业准入条件，禁止新建落后产能或产能严重过剩行业的建设项目。按计划逐步淘汰普通照明白炽灯。提高铅酸蓄电池等行业落后产能淘汰标准，逐步退出落后产能。制定涉重</w:t>
      </w:r>
      <w:r w:rsidRPr="005E0922">
        <w:rPr>
          <w:rFonts w:ascii="微软雅黑" w:eastAsia="微软雅黑" w:hAnsi="微软雅黑" w:cs="宋体" w:hint="eastAsia"/>
          <w:color w:val="000000"/>
          <w:kern w:val="0"/>
          <w:sz w:val="27"/>
          <w:szCs w:val="27"/>
        </w:rPr>
        <w:lastRenderedPageBreak/>
        <w:t>金属重点工业行业清洁生产技术推行方案，鼓励企业采用先进适用生产工艺和技术。2020年重点行业的重点重金属排放量要比2013年下降10%。（环境保护部、工业和信息化部牵头，国家发展改革委参与）</w:t>
      </w:r>
      <w:r w:rsidRPr="005E0922">
        <w:rPr>
          <w:rFonts w:ascii="微软雅黑" w:eastAsia="微软雅黑" w:hAnsi="微软雅黑" w:cs="宋体" w:hint="eastAsia"/>
          <w:color w:val="000000"/>
          <w:kern w:val="0"/>
          <w:sz w:val="27"/>
          <w:szCs w:val="27"/>
        </w:rPr>
        <w:br/>
        <w:t xml:space="preserve">　　加强工业废物处理处置。全面整治尾矿、煤矸石、工业副产石膏、粉煤灰、赤泥、冶炼渣、电石渣、铬渣、砷渣以及脱硫、脱硝、除尘产生固体废物的堆存场所，完善防扬散、防流失、防渗漏等设施，制定整治方案并有序实施。加强工业固体废物综合利用。对电子废物、废轮胎、废塑料等再生利用活动进行清理整顿，引导有关企业采用先进适用加工工艺、集聚发展，集中建设和运营污染治理设施，防止污染土壤和地下水。自2017年起，在京津冀、长三角、珠三角等地区的部分城市开展污水与污泥、废气与废渣协同治理试点。（环境保护部、国家发展改革委牵头，工业和信息化部、国土资源部参与）</w:t>
      </w:r>
      <w:r w:rsidRPr="005E0922">
        <w:rPr>
          <w:rFonts w:ascii="微软雅黑" w:eastAsia="微软雅黑" w:hAnsi="微软雅黑" w:cs="宋体" w:hint="eastAsia"/>
          <w:color w:val="000000"/>
          <w:kern w:val="0"/>
          <w:sz w:val="27"/>
          <w:szCs w:val="27"/>
        </w:rPr>
        <w:br/>
        <w:t xml:space="preserve">　　（十九）控制农业污染。合理使用化肥农药。鼓励农民增施有机肥，减少化肥使用量。科学施用农药，推行农作物病虫害专业化统防统治和绿色防控，推广高效低毒低残留农药和现代植保机械。加强农药包装废弃物回收处理，自2017年起，在江苏、山东、河南、海南等省份选择部分产粮（油）大县和蔬菜产业重点县开展试点；到2020年，推广到全国30%的产粮（油）大县和所有蔬菜产业重点县。推行农业清洁生产，开展农业废弃物资源化利用试点，形成一批可复制、可推广的农业面源污染防治技术模式。严禁将城镇生活垃圾、污泥、工业废物直接用作肥料。到2020年，全国主要农作物化肥、农药使用量实现零增长，利用率提高到40%以上，测土配方施肥技术推广覆盖率提高到90%以</w:t>
      </w:r>
      <w:r w:rsidRPr="005E0922">
        <w:rPr>
          <w:rFonts w:ascii="微软雅黑" w:eastAsia="微软雅黑" w:hAnsi="微软雅黑" w:cs="宋体" w:hint="eastAsia"/>
          <w:color w:val="000000"/>
          <w:kern w:val="0"/>
          <w:sz w:val="27"/>
          <w:szCs w:val="27"/>
        </w:rPr>
        <w:lastRenderedPageBreak/>
        <w:t>上。（农业部牵头，国家发展改革委、环境保护部、住房城乡建设部、供销合作总社等参与）</w:t>
      </w:r>
      <w:r w:rsidRPr="005E0922">
        <w:rPr>
          <w:rFonts w:ascii="微软雅黑" w:eastAsia="微软雅黑" w:hAnsi="微软雅黑" w:cs="宋体" w:hint="eastAsia"/>
          <w:color w:val="000000"/>
          <w:kern w:val="0"/>
          <w:sz w:val="27"/>
          <w:szCs w:val="27"/>
        </w:rPr>
        <w:br/>
        <w:t xml:space="preserve">　　加强废弃农膜回收利用。严厉打击违法生产和销售不合格农膜的行为。建立健全废弃农膜回收贮运和综合利用网络，开展废弃农膜回收利用试点；到2020年，河北、辽宁、山东、河南、甘肃、新疆等农膜使用量较高省份力争实现废弃农膜全面回收利用。（农业部牵头，国家发展改革委、工业和信息化部、公安部、工商总局、供销合作总社等参与）</w:t>
      </w:r>
      <w:r w:rsidRPr="005E0922">
        <w:rPr>
          <w:rFonts w:ascii="微软雅黑" w:eastAsia="微软雅黑" w:hAnsi="微软雅黑" w:cs="宋体" w:hint="eastAsia"/>
          <w:color w:val="000000"/>
          <w:kern w:val="0"/>
          <w:sz w:val="27"/>
          <w:szCs w:val="27"/>
        </w:rPr>
        <w:br/>
        <w:t xml:space="preserve">　　强化畜禽养殖污染防治。严格规范兽药、饲料添加剂的生产和使用，防止过量使用，促进源头减量。加强畜禽粪便综合利用，在部分生猪大县开展种养业有机结合、循环发展试点。鼓励支持畜禽粪便处理利用设施建设，到2020年，规模化养殖场、养殖小区配套建设废弃物处理设施比例达到75%以上。（农业部牵头，国家发展改革委、环境保护部参与）</w:t>
      </w:r>
      <w:r w:rsidRPr="005E0922">
        <w:rPr>
          <w:rFonts w:ascii="微软雅黑" w:eastAsia="微软雅黑" w:hAnsi="微软雅黑" w:cs="宋体" w:hint="eastAsia"/>
          <w:color w:val="000000"/>
          <w:kern w:val="0"/>
          <w:sz w:val="27"/>
          <w:szCs w:val="27"/>
        </w:rPr>
        <w:br/>
        <w:t xml:space="preserve">　　加强灌溉水水质管理。开展灌溉水水质监测。灌溉用水应符合农田灌溉水水质标准。对因长期使用污水灌溉导致土壤污染严重、威胁农产品质量安全的，要及时调整种植结构。（水利部牵头，农业部参与）</w:t>
      </w:r>
      <w:r w:rsidRPr="005E0922">
        <w:rPr>
          <w:rFonts w:ascii="微软雅黑" w:eastAsia="微软雅黑" w:hAnsi="微软雅黑" w:cs="宋体" w:hint="eastAsia"/>
          <w:color w:val="000000"/>
          <w:kern w:val="0"/>
          <w:sz w:val="27"/>
          <w:szCs w:val="27"/>
        </w:rPr>
        <w:br/>
        <w:t xml:space="preserve">　　（二十）减少生活污染。建立政府、社区、企业和居民协调机制，通过分类投放收集、综合循环利用，促进垃圾减量化、资源化、无害化。建立村庄保洁制度，推进农村生活垃圾治理，实施农村生活污水治理工程。整治非正规垃圾填埋场。深入实施“以奖促治”政策，扩大农村环境连片整治范围。推进水泥窑协同处置生活垃圾试点。鼓励将处理达标后的污泥用于园林绿化。开展利用建筑垃圾生产建材产品等资源化利用</w:t>
      </w:r>
      <w:r w:rsidRPr="005E0922">
        <w:rPr>
          <w:rFonts w:ascii="微软雅黑" w:eastAsia="微软雅黑" w:hAnsi="微软雅黑" w:cs="宋体" w:hint="eastAsia"/>
          <w:color w:val="000000"/>
          <w:kern w:val="0"/>
          <w:sz w:val="27"/>
          <w:szCs w:val="27"/>
        </w:rPr>
        <w:lastRenderedPageBreak/>
        <w:t>示范。强化废氧化汞电池、镍镉电池、铅酸蓄电池和含汞荧光灯管、温度计等含重金属废物的安全处置。减少过度包装，鼓励使用环境标志产品。（住房城乡建设部牵头，国家发展改革委、工业和信息化部、财政部、环境保护部参与）</w:t>
      </w:r>
      <w:r w:rsidRPr="005E0922">
        <w:rPr>
          <w:rFonts w:ascii="微软雅黑" w:eastAsia="微软雅黑" w:hAnsi="微软雅黑" w:cs="宋体" w:hint="eastAsia"/>
          <w:color w:val="000000"/>
          <w:kern w:val="0"/>
          <w:sz w:val="27"/>
          <w:szCs w:val="27"/>
        </w:rPr>
        <w:br/>
        <w:t xml:space="preserve">　　七、开展污染治理与修复，改善区域土壤环境质量</w:t>
      </w:r>
      <w:r w:rsidRPr="005E0922">
        <w:rPr>
          <w:rFonts w:ascii="微软雅黑" w:eastAsia="微软雅黑" w:hAnsi="微软雅黑" w:cs="宋体" w:hint="eastAsia"/>
          <w:color w:val="000000"/>
          <w:kern w:val="0"/>
          <w:sz w:val="27"/>
          <w:szCs w:val="27"/>
        </w:rPr>
        <w:br/>
        <w:t xml:space="preserve">　　（二十一）明确治理与修复主体。按照“谁污染，谁治理”原则，造成土壤污染的单位或个人要承担治理与修复的主体责任。责任主体发生变更的，由变更后继承其债权、债务的单位或个人承担相关责任；土地使用权依法转让的，由土地使用权受让人或双方约定的责任人承担相关责任。责任主体灭失或责任主体不明确的，由所在地县级人民政府依法承担相关责任。（环境保护部牵头，国土资源部、住房城乡建设部参与）</w:t>
      </w:r>
      <w:r w:rsidRPr="005E0922">
        <w:rPr>
          <w:rFonts w:ascii="微软雅黑" w:eastAsia="微软雅黑" w:hAnsi="微软雅黑" w:cs="宋体" w:hint="eastAsia"/>
          <w:color w:val="000000"/>
          <w:kern w:val="0"/>
          <w:sz w:val="27"/>
          <w:szCs w:val="27"/>
        </w:rPr>
        <w:br/>
        <w:t xml:space="preserve">　　（二十二）制定治理与修复规划。各省（区、市）要以影响农产品质量和人居环境安全的突出土壤污染问题为重点，制定土壤污染治理与修复规划，明确重点任务、责任单位和分年度实施计划，建立项目库，2017年底前完成。规划报环境保护部备案。京津冀、长三角、珠三角地区要率先完成。（环境保护部牵头，国土资源部、住房城乡建设部、农业部等参与）</w:t>
      </w:r>
      <w:r w:rsidRPr="005E0922">
        <w:rPr>
          <w:rFonts w:ascii="微软雅黑" w:eastAsia="微软雅黑" w:hAnsi="微软雅黑" w:cs="宋体" w:hint="eastAsia"/>
          <w:color w:val="000000"/>
          <w:kern w:val="0"/>
          <w:sz w:val="27"/>
          <w:szCs w:val="27"/>
        </w:rPr>
        <w:br/>
        <w:t xml:space="preserve">　　（二十三）有序开展治理与修复。确定治理与修复重点。各地要结合城市环境质量提升和发展布局调整，以拟开发建设居住、商业、学校、医疗和养老机构等项目的污染地块为重点，开展治理与修复。在江西、湖北、湖南、广东、广西、四川、贵州、云南等省份污染耕地集中区域</w:t>
      </w:r>
      <w:r w:rsidRPr="005E0922">
        <w:rPr>
          <w:rFonts w:ascii="微软雅黑" w:eastAsia="微软雅黑" w:hAnsi="微软雅黑" w:cs="宋体" w:hint="eastAsia"/>
          <w:color w:val="000000"/>
          <w:kern w:val="0"/>
          <w:sz w:val="27"/>
          <w:szCs w:val="27"/>
        </w:rPr>
        <w:lastRenderedPageBreak/>
        <w:t>优先组织开展治理与修复；其他省份要根据耕地土壤污染程度、环境风险及其影响范围，确定治理与修复的重点区域。到2020年，受污染耕地治理与修复面积达到1000万亩。（国土资源部、农业部、环境保护部牵头，住房城乡建设部参与）</w:t>
      </w:r>
      <w:r w:rsidRPr="005E0922">
        <w:rPr>
          <w:rFonts w:ascii="微软雅黑" w:eastAsia="微软雅黑" w:hAnsi="微软雅黑" w:cs="宋体" w:hint="eastAsia"/>
          <w:color w:val="000000"/>
          <w:kern w:val="0"/>
          <w:sz w:val="27"/>
          <w:szCs w:val="27"/>
        </w:rPr>
        <w:br/>
        <w:t xml:space="preserve">　　强化治理与修复工程监管。治理与修复工程原则上在原址进行，并采取必要措施防止污染土壤挖掘、堆存等造成二次污染；需要转运污染土壤的，有关责任单位要将运输时间、方式、线路和污染土壤数量、去向、最终处置措施等，提前向所在地和接收地环境保护部门报告。工程施工期间，责任单位要设立公告牌，公开工程基本情况、环境影响及其防范措施；所在地环境保护部门要对各项环境保护措施落实情况进行检查。工程完工后，责任单位要委托第三方机构对治理与修复效果进行评估，结果向社会公开。实行土壤污染治理与修复终身责任制，2017年底前，出台有关责任追究办法。（环境保护部牵头，国土资源部、住房城乡建设部、农业部参与）</w:t>
      </w:r>
      <w:r w:rsidRPr="005E0922">
        <w:rPr>
          <w:rFonts w:ascii="微软雅黑" w:eastAsia="微软雅黑" w:hAnsi="微软雅黑" w:cs="宋体" w:hint="eastAsia"/>
          <w:color w:val="000000"/>
          <w:kern w:val="0"/>
          <w:sz w:val="27"/>
          <w:szCs w:val="27"/>
        </w:rPr>
        <w:br/>
        <w:t xml:space="preserve">　　（二十四）监督目标任务落实。各省级环境保护部门要定期向环境保护部报告土壤污染治理与修复工作进展；环境保护部要会同有关部门进行督导检查。各省（区、市）要委托第三方机构对本行政区域各县（市、区）土壤污染治理与修复成效进行综合评估，结果向社会公开。2017年底前，出台土壤污染治理与修复成效评估办法。（环境保护部牵头，国土资源部、住房城乡建设部、农业部参与）</w:t>
      </w:r>
      <w:r w:rsidRPr="005E0922">
        <w:rPr>
          <w:rFonts w:ascii="微软雅黑" w:eastAsia="微软雅黑" w:hAnsi="微软雅黑" w:cs="宋体" w:hint="eastAsia"/>
          <w:color w:val="000000"/>
          <w:kern w:val="0"/>
          <w:sz w:val="27"/>
          <w:szCs w:val="27"/>
        </w:rPr>
        <w:br/>
        <w:t xml:space="preserve">　　八、加大科技研发力度，推动环境保护产业发展</w:t>
      </w:r>
      <w:r w:rsidRPr="005E0922">
        <w:rPr>
          <w:rFonts w:ascii="微软雅黑" w:eastAsia="微软雅黑" w:hAnsi="微软雅黑" w:cs="宋体" w:hint="eastAsia"/>
          <w:color w:val="000000"/>
          <w:kern w:val="0"/>
          <w:sz w:val="27"/>
          <w:szCs w:val="27"/>
        </w:rPr>
        <w:br/>
        <w:t xml:space="preserve">　　（二十五）加强土壤污染防治研究。整合高等学校、研究机构、企</w:t>
      </w:r>
      <w:r w:rsidRPr="005E0922">
        <w:rPr>
          <w:rFonts w:ascii="微软雅黑" w:eastAsia="微软雅黑" w:hAnsi="微软雅黑" w:cs="宋体" w:hint="eastAsia"/>
          <w:color w:val="000000"/>
          <w:kern w:val="0"/>
          <w:sz w:val="27"/>
          <w:szCs w:val="27"/>
        </w:rPr>
        <w:lastRenderedPageBreak/>
        <w:t>业等科研资源，开展土壤环境基准、土壤环境容量与承载能力、污染物迁移转化规律、污染生态效应、重金属低积累作物和修复植物筛选，以及土壤污染与农产品质量、人体健康关系等方面基础研究。推进土壤污染诊断、风险管控、治理与修复等共性关键技术研究，研发先进适用装备和高效低成本功能材料（药剂），强化卫星遥感技术应用，建设一批土壤污染防治实验室、科研基地。优化整合科技计划（专项、基金等），支持土壤污染防治研究。（科技部牵头，国家发展改革委、教育部、工业和信息化部、国土资源部、环境保护部、住房城乡建设部、农业部、国家卫生计生委、国家林业局、中科院等参与）</w:t>
      </w:r>
      <w:r w:rsidRPr="005E0922">
        <w:rPr>
          <w:rFonts w:ascii="微软雅黑" w:eastAsia="微软雅黑" w:hAnsi="微软雅黑" w:cs="宋体" w:hint="eastAsia"/>
          <w:color w:val="000000"/>
          <w:kern w:val="0"/>
          <w:sz w:val="27"/>
          <w:szCs w:val="27"/>
        </w:rPr>
        <w:br/>
        <w:t xml:space="preserve">　　（二十六）加大适用技术推广力度。建立健全技术体系。综合土壤污染类型、程度和区域代表性，针对典型受污染农用地、污染地块，分批实施200个土壤污染治理与修复技术应用试点项目，2020年底前完成。根据试点情况，比选形成一批易推广、成本低、效果好的适用技术。（环境保护部、财政部牵头，科技部、国土资源部、住房城乡建设部、农业部等参与）</w:t>
      </w:r>
      <w:r w:rsidRPr="005E0922">
        <w:rPr>
          <w:rFonts w:ascii="微软雅黑" w:eastAsia="微软雅黑" w:hAnsi="微软雅黑" w:cs="宋体" w:hint="eastAsia"/>
          <w:color w:val="000000"/>
          <w:kern w:val="0"/>
          <w:sz w:val="27"/>
          <w:szCs w:val="27"/>
        </w:rPr>
        <w:br/>
        <w:t xml:space="preserve">　　加快成果转化应用。完善土壤污染防治科技成果转化机制，建成以环保为主导产业的高新技术产业开发区等一批成果转化平台。2017年底前，发布鼓励发展的土壤污染防治重大技术装备目录。开展国际合作研究与技术交流，引进消化土壤污染风险识别、土壤污染物快速检测、土壤及地下水污染阻隔等风险管控先进技术和管理经验。（科技部牵头，国家发展改革委、教育部、工业和信息化部、国土资源部、环境保护部、住房城乡建设部、农业部、中科院等参与）</w:t>
      </w:r>
      <w:r w:rsidRPr="005E0922">
        <w:rPr>
          <w:rFonts w:ascii="微软雅黑" w:eastAsia="微软雅黑" w:hAnsi="微软雅黑" w:cs="宋体" w:hint="eastAsia"/>
          <w:color w:val="000000"/>
          <w:kern w:val="0"/>
          <w:sz w:val="27"/>
          <w:szCs w:val="27"/>
        </w:rPr>
        <w:br/>
      </w:r>
      <w:r w:rsidRPr="005E0922">
        <w:rPr>
          <w:rFonts w:ascii="微软雅黑" w:eastAsia="微软雅黑" w:hAnsi="微软雅黑" w:cs="宋体" w:hint="eastAsia"/>
          <w:color w:val="000000"/>
          <w:kern w:val="0"/>
          <w:sz w:val="27"/>
          <w:szCs w:val="27"/>
        </w:rPr>
        <w:lastRenderedPageBreak/>
        <w:t xml:space="preserve">　　（二十七）推动治理与修复产业发展。放开服务性监测市场，鼓励社会机构参与土壤环境监测评估等活动。通过政策推动，加快完善覆盖土壤环境调查、分析测试、风险评估、治理与修复工程设计和施工等环节的成熟产业链，形成若干综合实力雄厚的龙头企业，培育一批充满活力的中小企业。推动有条件的地区建设产业化示范基地。规范土壤污染治理与修复从业单位和人员管理，建立健全监督机制，将技术服务能力弱、运营管理水平低、综合信用差的从业单位名单通过企业信用信息公示系统向社会公开。发挥“互联网+”在土壤污染治理与修复全产业链中的作用，推进大众创业、万众创新。（国家发展改革委牵头，科技部、工业和信息化部、国土资源部、环境保护部、住房城乡建设部、农业部、商务部、工商总局等参与）</w:t>
      </w:r>
      <w:r w:rsidRPr="005E0922">
        <w:rPr>
          <w:rFonts w:ascii="微软雅黑" w:eastAsia="微软雅黑" w:hAnsi="微软雅黑" w:cs="宋体" w:hint="eastAsia"/>
          <w:color w:val="000000"/>
          <w:kern w:val="0"/>
          <w:sz w:val="27"/>
          <w:szCs w:val="27"/>
        </w:rPr>
        <w:br/>
        <w:t xml:space="preserve">　　九、发挥政府主导作用，构建土壤环境治理体系</w:t>
      </w:r>
      <w:r w:rsidRPr="005E0922">
        <w:rPr>
          <w:rFonts w:ascii="微软雅黑" w:eastAsia="微软雅黑" w:hAnsi="微软雅黑" w:cs="宋体" w:hint="eastAsia"/>
          <w:color w:val="000000"/>
          <w:kern w:val="0"/>
          <w:sz w:val="27"/>
          <w:szCs w:val="27"/>
        </w:rPr>
        <w:br/>
        <w:t xml:space="preserve">　　（二十八）强化政府主导。完善管理体制。按照“国家统筹、省负总责、市县落实”原则，完善土壤环境管理体制，全面落实土壤污染防治属地责任。探索建立跨行政区域土壤污染防治联动协作机制。（环境保护部牵头，国家发展改革委、科技部、工业和信息化部、财政部、国土资源部、住房城乡建设部、农业部等参与）</w:t>
      </w:r>
      <w:r w:rsidRPr="005E0922">
        <w:rPr>
          <w:rFonts w:ascii="微软雅黑" w:eastAsia="微软雅黑" w:hAnsi="微软雅黑" w:cs="宋体" w:hint="eastAsia"/>
          <w:color w:val="000000"/>
          <w:kern w:val="0"/>
          <w:sz w:val="27"/>
          <w:szCs w:val="27"/>
        </w:rPr>
        <w:br/>
        <w:t xml:space="preserve">　　加大财政投入。中央和地方各级财政加大对土壤污染防治工作的支持力度。中央财政整合重金属污染防治专项资金等，设立土壤污染防治专项资金，用于土壤环境调查与监测评估、监督管理、治理与修复等工作。各地应统筹相关财政资金，通过现有政策和资金渠道加大支持，将农业综合开发、高标准农田建设、农田水利建设、耕地保护与质量提升、</w:t>
      </w:r>
      <w:r w:rsidRPr="005E0922">
        <w:rPr>
          <w:rFonts w:ascii="微软雅黑" w:eastAsia="微软雅黑" w:hAnsi="微软雅黑" w:cs="宋体" w:hint="eastAsia"/>
          <w:color w:val="000000"/>
          <w:kern w:val="0"/>
          <w:sz w:val="27"/>
          <w:szCs w:val="27"/>
        </w:rPr>
        <w:lastRenderedPageBreak/>
        <w:t>测土配方施肥等涉农资金，更多用于优先保护类耕地集中的县（市、区）。有条件的省（区、市）可对优先保护类耕地面积增加的县（市、区）予以适当奖励。统筹安排专项建设基金，支持企业对涉重金属落后生产工艺和设备进行技术改造。（财政部牵头，国家发展改革委、工业和信息化部、国土资源部、环境保护部、水利部、农业部等参与）</w:t>
      </w:r>
      <w:r w:rsidRPr="005E0922">
        <w:rPr>
          <w:rFonts w:ascii="微软雅黑" w:eastAsia="微软雅黑" w:hAnsi="微软雅黑" w:cs="宋体" w:hint="eastAsia"/>
          <w:color w:val="000000"/>
          <w:kern w:val="0"/>
          <w:sz w:val="27"/>
          <w:szCs w:val="27"/>
        </w:rPr>
        <w:br/>
        <w:t xml:space="preserve">　　完善激励政策。各地要采取有效措施，激励相关企业参与土壤污染治理与修复。研究制定扶持有机肥生产、废弃农膜综合利用、农药包装废弃物回收处理等企业的激励政策。在农药、化肥等行业，开展环保领跑者制度试点。（财政部牵头，国家发展改革委、工业和信息化部、国土资源部、环境保护部、住房城乡建设部、农业部、税务总局、供销合作总社等参与）</w:t>
      </w:r>
      <w:r w:rsidRPr="005E0922">
        <w:rPr>
          <w:rFonts w:ascii="微软雅黑" w:eastAsia="微软雅黑" w:hAnsi="微软雅黑" w:cs="宋体" w:hint="eastAsia"/>
          <w:color w:val="000000"/>
          <w:kern w:val="0"/>
          <w:sz w:val="27"/>
          <w:szCs w:val="27"/>
        </w:rPr>
        <w:br/>
        <w:t xml:space="preserve">　　建设综合防治先行区。2016年底前，在浙江省台州市、湖北省黄石市、湖南省常德市、广东省韶关市、广西壮族自治区河池市和贵州省铜仁市启动土壤污染综合防治先行区建设，重点在土壤污染源头预防、风险管控、治理与修复、监管能力建设等方面进行探索，力争到2020年先行区土壤环境质量得到明显改善。有关地方人民政府要编制先行区建设方案，按程序报环境保护部、财政部备案。京津冀、长三角、珠三角等地区可因地制宜开展先行区建设。（环境保护部、财政部牵头，国家发展改革委、国土资源部、住房城乡建设部、农业部、国家林业局等参与）</w:t>
      </w:r>
      <w:r w:rsidRPr="005E0922">
        <w:rPr>
          <w:rFonts w:ascii="微软雅黑" w:eastAsia="微软雅黑" w:hAnsi="微软雅黑" w:cs="宋体" w:hint="eastAsia"/>
          <w:color w:val="000000"/>
          <w:kern w:val="0"/>
          <w:sz w:val="27"/>
          <w:szCs w:val="27"/>
        </w:rPr>
        <w:br/>
        <w:t xml:space="preserve">　　（二十九）发挥市场作用。通过政府和社会资本合作（PPP）模式，发挥财政资金撬动功能，带动更多社会资本参与土壤污染防治。加大政</w:t>
      </w:r>
      <w:r w:rsidRPr="005E0922">
        <w:rPr>
          <w:rFonts w:ascii="微软雅黑" w:eastAsia="微软雅黑" w:hAnsi="微软雅黑" w:cs="宋体" w:hint="eastAsia"/>
          <w:color w:val="000000"/>
          <w:kern w:val="0"/>
          <w:sz w:val="27"/>
          <w:szCs w:val="27"/>
        </w:rPr>
        <w:lastRenderedPageBreak/>
        <w:t>府购买服务力度，推动受污染耕地和以政府为责任主体的污染地块治理与修复。积极发展绿色金融，发挥政策性和开发性金融机构引导作用，为重大土壤污染防治项目提供支持。鼓励符合条件的土壤污染治理与修复企业发行股票。探索通过发行债券推进土壤污染治理与修复，在土壤污染综合防治先行区开展试点。有序开展重点行业企业环境污染强制责任保险试点。（国家发展改革委、环境保护部牵头，财政部、人民银行、银监会、证监会、保监会等参与）</w:t>
      </w:r>
      <w:r w:rsidRPr="005E0922">
        <w:rPr>
          <w:rFonts w:ascii="微软雅黑" w:eastAsia="微软雅黑" w:hAnsi="微软雅黑" w:cs="宋体" w:hint="eastAsia"/>
          <w:color w:val="000000"/>
          <w:kern w:val="0"/>
          <w:sz w:val="27"/>
          <w:szCs w:val="27"/>
        </w:rPr>
        <w:br/>
        <w:t xml:space="preserve">　　（三十）加强社会监督。推进信息公开。根据土壤环境质量监测和调查结果，适时发布全国土壤环境状况。各省（区、市）人民政府定期公布本行政区域各地级市（州、盟）土壤环境状况。重点行业企业要依据有关规定，向社会公开其产生的污染物名称、排放方式、排放浓度、排放总量，以及污染防治设施建设和运行情况。（环境保护部牵头，国土资源部、住房城乡建设部、农业部等参与）</w:t>
      </w:r>
      <w:r w:rsidRPr="005E0922">
        <w:rPr>
          <w:rFonts w:ascii="微软雅黑" w:eastAsia="微软雅黑" w:hAnsi="微软雅黑" w:cs="宋体" w:hint="eastAsia"/>
          <w:color w:val="000000"/>
          <w:kern w:val="0"/>
          <w:sz w:val="27"/>
          <w:szCs w:val="27"/>
        </w:rPr>
        <w:br/>
        <w:t xml:space="preserve">　　引导公众参与。实行有奖举报，鼓励公众通过“12369”环保举报热线、信函、电子邮件、政府网站、微信平台等途径，对乱排废水、废气，乱倒废渣、污泥等污染土壤的环境违法行为进行监督。有条件的地方可根据需要聘请环境保护义务监督员，参与现场环境执法、土壤污染事件调查处理等。鼓励种粮大户、家庭农场、农民合作社以及民间环境保护机构参与土壤污染防治工作。（环境保护部牵头，国土资源部、住房城乡建设部、农业部等参与）</w:t>
      </w:r>
      <w:r w:rsidRPr="005E0922">
        <w:rPr>
          <w:rFonts w:ascii="微软雅黑" w:eastAsia="微软雅黑" w:hAnsi="微软雅黑" w:cs="宋体" w:hint="eastAsia"/>
          <w:color w:val="000000"/>
          <w:kern w:val="0"/>
          <w:sz w:val="27"/>
          <w:szCs w:val="27"/>
        </w:rPr>
        <w:br/>
        <w:t xml:space="preserve">　　推动公益诉讼。鼓励依法对污染土壤等环境违法行为提起公益诉讼。开展检察机关提起公益诉讼改革试点的地区，检察机关可以以公益诉讼</w:t>
      </w:r>
      <w:r w:rsidRPr="005E0922">
        <w:rPr>
          <w:rFonts w:ascii="微软雅黑" w:eastAsia="微软雅黑" w:hAnsi="微软雅黑" w:cs="宋体" w:hint="eastAsia"/>
          <w:color w:val="000000"/>
          <w:kern w:val="0"/>
          <w:sz w:val="27"/>
          <w:szCs w:val="27"/>
        </w:rPr>
        <w:lastRenderedPageBreak/>
        <w:t>人的身份，对污染土壤等损害社会公共利益的行为提起民事公益诉讼；也可以对负有土壤污染防治职责的行政机关，因违法行使职权或者不作为造成国家和社会公共利益受到侵害的行为提起行政公益诉讼。地方各级人民政府和有关部门应当积极配合司法机关的相关案件办理工作和检察机关的监督工作。（最高人民检察院、最高人民法院牵头，国土资源部、环境保护部、住房城乡建设部、水利部、农业部、国家林业局等参与）</w:t>
      </w:r>
      <w:r w:rsidRPr="005E0922">
        <w:rPr>
          <w:rFonts w:ascii="微软雅黑" w:eastAsia="微软雅黑" w:hAnsi="微软雅黑" w:cs="宋体" w:hint="eastAsia"/>
          <w:color w:val="000000"/>
          <w:kern w:val="0"/>
          <w:sz w:val="27"/>
          <w:szCs w:val="27"/>
        </w:rPr>
        <w:br/>
        <w:t xml:space="preserve">　　（三十一）开展宣传教育。制定土壤环境保护宣传教育工作方案。制作挂图、视频，出版科普读物，利用互联网、数字化放映平台等手段，结合世界地球日、世界环境日、世界土壤日、世界粮食日、全国土地日等主题宣传活动，普及土壤污染防治相关知识，加强法律法规政策宣传解读，营造保护土壤环境的良好社会氛围，推动形成绿色发展方式和生活方式。把土壤环境保护宣传教育融入党政机关、学校、工厂、社区、农村等的环境宣传和培训工作。鼓励支持有条件的高等学校开设土壤环境专门课程。（环境保护部牵头，中央宣传部、教育部、国土资源部、住房城乡建设部、农业部、新闻出版广电总局、国家网信办、国家粮食局、中国科协等参与）</w:t>
      </w:r>
      <w:r w:rsidRPr="005E0922">
        <w:rPr>
          <w:rFonts w:ascii="微软雅黑" w:eastAsia="微软雅黑" w:hAnsi="微软雅黑" w:cs="宋体" w:hint="eastAsia"/>
          <w:color w:val="000000"/>
          <w:kern w:val="0"/>
          <w:sz w:val="27"/>
          <w:szCs w:val="27"/>
        </w:rPr>
        <w:br/>
        <w:t xml:space="preserve">　　十、加强目标考核，严格责任追究</w:t>
      </w:r>
      <w:r w:rsidRPr="005E0922">
        <w:rPr>
          <w:rFonts w:ascii="微软雅黑" w:eastAsia="微软雅黑" w:hAnsi="微软雅黑" w:cs="宋体" w:hint="eastAsia"/>
          <w:color w:val="000000"/>
          <w:kern w:val="0"/>
          <w:sz w:val="27"/>
          <w:szCs w:val="27"/>
        </w:rPr>
        <w:br/>
        <w:t xml:space="preserve">　　（三十二）明确地方政府主体责任。地方各级人民政府是实施本行动计划的主体，要于2016年底前分别制定并公布土壤污染防治工作方案，确定重点任务和工作目标。要加强组织领导，完善政策措施，加大资金投入，创新投融资模式，强化监督管理，抓好工作落实。各省（区、</w:t>
      </w:r>
      <w:r w:rsidRPr="005E0922">
        <w:rPr>
          <w:rFonts w:ascii="微软雅黑" w:eastAsia="微软雅黑" w:hAnsi="微软雅黑" w:cs="宋体" w:hint="eastAsia"/>
          <w:color w:val="000000"/>
          <w:kern w:val="0"/>
          <w:sz w:val="27"/>
          <w:szCs w:val="27"/>
        </w:rPr>
        <w:lastRenderedPageBreak/>
        <w:t>市）工作方案报国务院备案。（环境保护部牵头，国家发展改革委、财政部、国土资源部、住房城乡建设部、农业部等参与）</w:t>
      </w:r>
      <w:r w:rsidRPr="005E0922">
        <w:rPr>
          <w:rFonts w:ascii="微软雅黑" w:eastAsia="微软雅黑" w:hAnsi="微软雅黑" w:cs="宋体" w:hint="eastAsia"/>
          <w:color w:val="000000"/>
          <w:kern w:val="0"/>
          <w:sz w:val="27"/>
          <w:szCs w:val="27"/>
        </w:rPr>
        <w:br/>
        <w:t xml:space="preserve">　　（三十三）加强部门协调联动。建立全国土壤污染防治工作协调机制，定期研究解决重大问题。各有关部门要按照职责分工，协同做好土壤污染防治工作。环境保护部要抓好统筹协调，加强督促检查，每年2月底前将上年度工作进展情况向国务院报告。（环境保护部牵头，国家发展改革委、科技部、工业和信息化部、财政部、国土资源部、住房城乡建设部、水利部、农业部、国家林业局等参与）</w:t>
      </w:r>
      <w:r w:rsidRPr="005E0922">
        <w:rPr>
          <w:rFonts w:ascii="微软雅黑" w:eastAsia="微软雅黑" w:hAnsi="微软雅黑" w:cs="宋体" w:hint="eastAsia"/>
          <w:color w:val="000000"/>
          <w:kern w:val="0"/>
          <w:sz w:val="27"/>
          <w:szCs w:val="27"/>
        </w:rPr>
        <w:br/>
        <w:t xml:space="preserve">　　（三十四）落实企业责任。有关企业要加强内部管理，将土壤污染防治纳入环境风险防控体系，严格依法依规建设和运营污染治理设施，确保重点污染物稳定达标排放。造成土壤污染的，应承担损害评估、治理与修复的法律责任。逐步建立土壤污染治理与修复企业行业自律机制。国有企业特别是中央企业要带头落实。（环境保护部牵头，工业和信息化部、国务院国资委等参与）</w:t>
      </w:r>
      <w:r w:rsidRPr="005E0922">
        <w:rPr>
          <w:rFonts w:ascii="微软雅黑" w:eastAsia="微软雅黑" w:hAnsi="微软雅黑" w:cs="宋体" w:hint="eastAsia"/>
          <w:color w:val="000000"/>
          <w:kern w:val="0"/>
          <w:sz w:val="27"/>
          <w:szCs w:val="27"/>
        </w:rPr>
        <w:br/>
        <w:t xml:space="preserve">　　（三十五）严格评估考核。实行目标责任制。2016年底前，国务院与各省（区、市）人民政府签订土壤污染防治目标责任书，分解落实目标任务。分年度对各省（区、市）重点工作进展情况进行评估，2020年对本行动计划实施情况进行考核，评估和考核结果作为对领导班子和领导干部综合考核评价、自然资源资产离任审计的重要依据。（环境保护部牵头，中央组织部、审计署参与）</w:t>
      </w:r>
      <w:r w:rsidRPr="005E0922">
        <w:rPr>
          <w:rFonts w:ascii="微软雅黑" w:eastAsia="微软雅黑" w:hAnsi="微软雅黑" w:cs="宋体" w:hint="eastAsia"/>
          <w:color w:val="000000"/>
          <w:kern w:val="0"/>
          <w:sz w:val="27"/>
          <w:szCs w:val="27"/>
        </w:rPr>
        <w:br/>
        <w:t xml:space="preserve">　　评估和考核结果作为土壤污染防治专项资金分配的重要参考依据。（财政部牵头，环境保护部参与）</w:t>
      </w:r>
      <w:r w:rsidRPr="005E0922">
        <w:rPr>
          <w:rFonts w:ascii="微软雅黑" w:eastAsia="微软雅黑" w:hAnsi="微软雅黑" w:cs="宋体" w:hint="eastAsia"/>
          <w:color w:val="000000"/>
          <w:kern w:val="0"/>
          <w:sz w:val="27"/>
          <w:szCs w:val="27"/>
        </w:rPr>
        <w:br/>
      </w:r>
      <w:r w:rsidRPr="005E0922">
        <w:rPr>
          <w:rFonts w:ascii="微软雅黑" w:eastAsia="微软雅黑" w:hAnsi="微软雅黑" w:cs="宋体" w:hint="eastAsia"/>
          <w:color w:val="000000"/>
          <w:kern w:val="0"/>
          <w:sz w:val="27"/>
          <w:szCs w:val="27"/>
        </w:rPr>
        <w:lastRenderedPageBreak/>
        <w:t xml:space="preserve">　　对年度评估结果较差或未通过考核的省（区、市），要提出限期整改意见，整改完成前，对有关地区实施建设项目环评限批；整改不到位的，要约谈有关省级人民政府及其相关部门负责人。对土壤环境问题突出、区域土壤环境质量明显下降、防治工作不力、群众反映强烈的地区，要约谈有关地市级人民政府和省级人民政府相关部门主要负责人。对失职渎职、弄虚作假的，区分情节轻重，予以诫勉、责令公开道歉、组织处理或党纪政纪处分；对构成犯罪的，要依法追究刑事责任，已经调离、提拔或者退休的，也要终身追究责任。（环境保护部牵头，中央组织部、监察部参与）</w:t>
      </w:r>
      <w:r w:rsidRPr="005E0922">
        <w:rPr>
          <w:rFonts w:ascii="微软雅黑" w:eastAsia="微软雅黑" w:hAnsi="微软雅黑" w:cs="宋体" w:hint="eastAsia"/>
          <w:color w:val="000000"/>
          <w:kern w:val="0"/>
          <w:sz w:val="27"/>
          <w:szCs w:val="27"/>
        </w:rPr>
        <w:br/>
        <w:t xml:space="preserve">　　我国正处于全面建成小康社会决胜阶段，提高环境质量是人民群众的热切期盼，土壤污染防治任务艰巨。各地区、各有关部门要认清形势，坚定信心，狠抓落实，切实加强污染治理和生态保护，如期实现全国土壤污染防治目标，确保生态环境质量得到改善、各类自然生态系统安全稳定，为建设美丽中国、实现“两个一百年”奋斗目标和中华民族伟大复兴的中国梦作出贡献。</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Pr>
        <w:pStyle w:val="3"/>
        <w:jc w:val="center"/>
        <w:rPr>
          <w:sz w:val="30"/>
          <w:szCs w:val="30"/>
        </w:rPr>
      </w:pPr>
      <w:bookmarkStart w:id="99" w:name="_Toc12864250"/>
      <w:r w:rsidRPr="005E0922">
        <w:rPr>
          <w:rFonts w:hint="eastAsia"/>
          <w:sz w:val="30"/>
          <w:szCs w:val="30"/>
        </w:rPr>
        <w:lastRenderedPageBreak/>
        <w:t>国土资源部全国工商联关于进一步鼓励和引导民间资本投资国土资源领域的意见（国土资发〔</w:t>
      </w:r>
      <w:r w:rsidRPr="005E0922">
        <w:rPr>
          <w:rFonts w:hint="eastAsia"/>
          <w:sz w:val="30"/>
          <w:szCs w:val="30"/>
        </w:rPr>
        <w:t>2012</w:t>
      </w:r>
      <w:r w:rsidRPr="005E0922">
        <w:rPr>
          <w:rFonts w:hint="eastAsia"/>
          <w:sz w:val="30"/>
          <w:szCs w:val="30"/>
        </w:rPr>
        <w:t>〕</w:t>
      </w:r>
      <w:r w:rsidRPr="005E0922">
        <w:rPr>
          <w:rFonts w:hint="eastAsia"/>
          <w:sz w:val="30"/>
          <w:szCs w:val="30"/>
        </w:rPr>
        <w:t>100</w:t>
      </w:r>
      <w:r w:rsidRPr="005E0922">
        <w:rPr>
          <w:rFonts w:hint="eastAsia"/>
          <w:sz w:val="30"/>
          <w:szCs w:val="30"/>
        </w:rPr>
        <w:t>号）</w:t>
      </w:r>
      <w:bookmarkEnd w:id="99"/>
    </w:p>
    <w:p w:rsidR="005E0922" w:rsidRPr="005E0922" w:rsidRDefault="005E0922" w:rsidP="005E0922">
      <w:pPr>
        <w:widowControl/>
        <w:shd w:val="clear" w:color="auto" w:fill="FFFFFF"/>
        <w:spacing w:before="225"/>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各省、自治区、直辖市国土资源主管部门、工商联，新疆生产建设兵团国土资源局、工商联，中国地质调查局及部其他直属单位，各派驻地方的国家土地督察局，部机关各司局：</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进一步鼓励和引导民间资本投资国土资源领域，是新形势下各级国土资源主管部门服务国家发展大局、促进经济长期平稳较快发展的重要任务，也是工商联在政府管理和服务中发挥助手作用的一项重要内容。《国务院关于鼓励和引导民间投资健康发展的若干意见》（国发〔2010〕13号）明确提出，鼓励、支持和引导民间资本进入土地整治、矿产资源勘查开发等国土资源领域。各级国土资源主管部门必须高度重视、提高认识，会同各级工商联，切实履行职责，进一步做好服务和保障工作。国土资源部、全国工商联共同研究，就贯彻落实国发〔2010〕13号文件提出如下意见：</w:t>
      </w:r>
    </w:p>
    <w:p w:rsidR="005E0922" w:rsidRPr="005E0922" w:rsidRDefault="005E0922" w:rsidP="005E0922">
      <w:pPr>
        <w:widowControl/>
        <w:shd w:val="clear" w:color="auto" w:fill="FFFFFF"/>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一、保持公平竞争的国土资源市场环境</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一）保障民间资本投资主体参与国土资源领域市场竞争的平等权利。在土地整治和矿山环境恢复治理工程招投标、土地供应、矿业权出让和矿产资源整合中，市场准入标准、支持政策和管理程序要公开、公正和透明，切实保证民间资本投资主体与其他投资主体平等进入、公平竞争的待遇，充分发挥市场配置资源的基础性作用。进一步规范市场交</w:t>
      </w:r>
      <w:r w:rsidRPr="005E0922">
        <w:rPr>
          <w:rFonts w:ascii="微软雅黑" w:eastAsia="微软雅黑" w:hAnsi="微软雅黑" w:cs="宋体" w:hint="eastAsia"/>
          <w:color w:val="000000"/>
          <w:kern w:val="0"/>
          <w:sz w:val="27"/>
          <w:szCs w:val="27"/>
        </w:rPr>
        <w:lastRenderedPageBreak/>
        <w:t>易秩序，维护良好的市场环境，积极鼓励、支持和引导民间资本有序进入土地和矿业权市场。</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二）鼓励民间资本投资主体盘活利用国有建设用地。民间资本投资主体以出让方式取得的土地，可依法通过转让、租赁、作价出资入股等方式盘活利用。对确需调整建设用地用途等土地使用条件的，应当经出让方同意，报原批准用地的人民政府批准，其中，在城市规划区内改变土地用途的，在报批前，应当先经有关城市规划行政主管部门同意。出让方依据批准文件与土地使用权人重新签订《国有建设用地使用权出让合同》，调整国有土地使用权出让价款。对工业用地在符合规划、不改变原用途的前提下，支持企业增加土地容积率，不再增收土地出让价款。原有以划拨方式取得的土地，经有批准权的人民政府依法批准，按法定程序办理相关手续、补交土地出让金后，可以用于经营性开发建设或转让。在依法合规的前提下，支持、鼓励民间资本投资主体以市场交易、合资合作等方式盘活利用其他国有建设用地。</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三）保障民间资本投资矿产勘查开采的合法权益。积极为民间资本提供相关政策、技术、法律等服务，严格按照国家相关政策规定，保障民间资本在矿产勘查开采领域的合法权益。支持不同所有制投资者之间探矿权采矿权依法有序流转，依法保障民间资本优先取得其探矿权范围内矿产资源的采矿权。</w:t>
      </w:r>
    </w:p>
    <w:p w:rsidR="005E0922" w:rsidRPr="005E0922" w:rsidRDefault="005E0922" w:rsidP="005E0922">
      <w:pPr>
        <w:widowControl/>
        <w:shd w:val="clear" w:color="auto" w:fill="FFFFFF"/>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二、鼓励和引导民间资本参与矿产资源勘查开发</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（四）鼓励民间资本投资矿产资源勘查。鼓励民间资本自主组建勘查单位，申请勘查资质，参与“找矿突破战略行动” ，开展地质勘查。除国家政策有特殊规定的矿种外，鼓励民间资本、地方财政资金参与地质勘查基金项目的投资合作，民间资本与地质勘查基金合作投资形成的勘查成果按照投资比例和合同约定转让，民间资本方有优先购买权。鼓励民间资本按照“三优先”原则，积极参与整装勘查区找矿突破工作，即大投入进行深部钻探验证的优先、与国有地勘单位联合成立企业实行资本与技术结合的优先、与勘查单位联合成立企业实行探采一体化的优先。支持民间资本积极参加境外矿产资源勘查开发活动。推进民间资本和找矿技术有机结合，形成多渠道地质勘查投入新机制。</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五）加大对民间资本投资矿产勘查开采的支持力度。在符合国土资源部《关于印发&lt;涉密地质资料管理细则&gt;的通知》（国土资发〔2008〕69号）相关规定的基础上，公益性地质资料和成果信息全面向投资矿产资源勘查开采的民间资本投资主体公开。加大境外矿产资源风险勘查、矿产资源节约综合利用等专项资金对民间资本矿山企业的支持力度。对民间资本投资开发共伴生矿产、尾矿和低品位矿产资源的，根据《矿产资源补偿费征收管理规定》（国务院第150号令）及有关规定，减免矿产资源补偿费。对民间资本采用和推广先进技术和工艺，并在矿产资源节约与综合利用中取得显著成效的，给予奖励。鼓励民间资本研发先进技术，并积极向国土资源主管部门提出先进推广技术目录申请，加快成果转化，努力提高自主创新能力，形成自主知识产权。支持民间资本参</w:t>
      </w:r>
      <w:r w:rsidRPr="005E0922">
        <w:rPr>
          <w:rFonts w:ascii="微软雅黑" w:eastAsia="微软雅黑" w:hAnsi="微软雅黑" w:cs="宋体" w:hint="eastAsia"/>
          <w:color w:val="000000"/>
          <w:kern w:val="0"/>
          <w:sz w:val="27"/>
          <w:szCs w:val="27"/>
        </w:rPr>
        <w:lastRenderedPageBreak/>
        <w:t>与矿产资源节约与综合利用技术行业标准修制订工作，将企业标准升级为行业标准。</w:t>
      </w:r>
    </w:p>
    <w:p w:rsidR="005E0922" w:rsidRPr="005E0922" w:rsidRDefault="005E0922" w:rsidP="005E0922">
      <w:pPr>
        <w:widowControl/>
        <w:shd w:val="clear" w:color="auto" w:fill="FFFFFF"/>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三、鼓励和引导民间资本参与油气资源勘查开采</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六）支持民间资本参与非常规油气资源勘查开采。鼓励和支持民间资本投资主体依法开展页岩气、煤层气、油砂、页岩油等非常规油气资源勘查开发。民间资本投资主体无相应勘查资质的，可与符合资质条件的单位以合资、合作等形式，参与竞争，获得非常规油气资源探矿权。</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七）依法保护民间资本参与石油天然气勘查开采的合法权益。鼓励和规范国有石油企业与民间资本在石油天然气勘查开采领域的合作。国有石油企业应当审查合作区域的勘查开发方案，将合作合同报登记管理机关备案，并承担合作区域勘查开发行为所产生的相关法律责任。在合作区域，国有石油企业也应投入相应的勘查开发资金，不得以收取管理费等形式非法转让或转包油气矿业权区块。</w:t>
      </w:r>
    </w:p>
    <w:p w:rsidR="005E0922" w:rsidRPr="005E0922" w:rsidRDefault="005E0922" w:rsidP="005E0922">
      <w:pPr>
        <w:widowControl/>
        <w:shd w:val="clear" w:color="auto" w:fill="FFFFFF"/>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四、鼓励和引导民间资本参与土地整治和矿山地质环境恢复治理</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八）引导民间资本参与土地整治。民间资本投资主体可根据地方国土资源主管部门公告的土地整治规划、土地整治项目库，向当地国土资源主管部门申报土地整治项目，经批准后，利用自筹资金或者结合生产建设活动，开展土地整治。土地整治项目经国土资源主管部门验收合格后，属于集体所有土地的，如集体经济组织和农民同意，经乡（镇）人民政府批准，可以承包或租赁等方式确定给整治单位或个人使用；属于开发未确定使用权的国有荒山、荒地、荒滩从事种植业、林业、畜牧</w:t>
      </w:r>
      <w:r w:rsidRPr="005E0922">
        <w:rPr>
          <w:rFonts w:ascii="微软雅黑" w:eastAsia="微软雅黑" w:hAnsi="微软雅黑" w:cs="宋体" w:hint="eastAsia"/>
          <w:color w:val="000000"/>
          <w:kern w:val="0"/>
          <w:sz w:val="27"/>
          <w:szCs w:val="27"/>
        </w:rPr>
        <w:lastRenderedPageBreak/>
        <w:t>业、渔业生产的，经县级以上人民政府批准，可优先确定给开发单位或个人使用。有条件的地方，可通过补贴或奖励的方式，实行“先建后补（奖）、以补（奖）促建”，对民间资本投资主体进行补贴或奖励。</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九）鼓励民间资本参与土地复垦和矿山地质环境恢复治理。难以确定复垦治理义务人的历史遗留的工矿废弃地和废弃矿山，民间资本投资主体可通过招标挂牌等方式参与土地复垦和矿山地质环境恢复治理工作。土地复垦项目和矿山地质环境恢复治理项目经国土资源主管部门验收合格后，从事种植业、林业、畜牧业、渔业生产的，经县级以上人民政府批准，可以优先确定给复垦治理单位或个人使用。</w:t>
      </w:r>
    </w:p>
    <w:p w:rsidR="005E0922" w:rsidRPr="005E0922" w:rsidRDefault="005E0922" w:rsidP="005E0922">
      <w:pPr>
        <w:widowControl/>
        <w:shd w:val="clear" w:color="auto" w:fill="FFFFFF"/>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五、加强对民间资本投资国土资源领域的服务和规范管理</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十）做好民间资本投资国土资源领域的服务工作。各级国土资源主管部门要切实做好国土资源市场监测和分析工作，及时把握投资动态，合理引导民间资本投向国土资源领域。加快地质资料信息集群化共享服务平台建设，积极为民间资本投资主体提供国内外地质资料信息服务。鼓励民间资本投资设立地质资料服务中介机构，利用全国地质资料馆和各省（区、市）地质资料馆藏机构保管的地质资料进行二次开发和服务。加强国土资源遥感监测“一张图”和综合监管平台建设，实时公布国土资源开发利用状况，及时向社会公布国土资源政策、规划、标准等管理信息，引导民间资本投资主体正确判断形势，减少盲目投资。国土资源领域协会要在服务民间资本投资主体和行业自律中发挥作用。</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lastRenderedPageBreak/>
        <w:t>（十一）切实加强土地和矿产资源开发利用监督管理。各级国土资源主管部门在鼓励、支持和引导民间资本投资国土资源领域的同时，要依据有关法律法规规定，严格规范管理，切实加强监管，督促民间资本投资主体履行用地、用矿手续，确保依法依规、节约集约用地、用矿。</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十二）充分发挥工商联的推动作用。各级工商联要发挥联系民间资本投资主体的优势，积极引导民间投资主体根据自身条件，参与国土资源领域投资和境外矿产资源开发。与国土资源主管部门共同开展对民间资本投资主体的政策、信息、技术、人才等方面的服务。积极引导民间资本投资主体树立国土资源法制意识和责任意识，自觉履行法律义务和社会责任，营造严格保护和合理利用国土资源的良好氛围。</w:t>
      </w:r>
    </w:p>
    <w:p w:rsidR="005E0922" w:rsidRPr="005E0922" w:rsidRDefault="005E0922" w:rsidP="005E0922">
      <w:pPr>
        <w:widowControl/>
        <w:shd w:val="clear" w:color="auto" w:fill="FFFFFF"/>
        <w:spacing w:before="225"/>
        <w:ind w:firstLine="480"/>
        <w:jc w:val="lef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十三）加强国土资源主管部门与工商联的协调沟通。国土资源部与全国工商联建立协调机制，推进本意见的执行。地方各级国土资源主管部门、工商联要建立相应的协调机制，研究解决新情况、新问题，不断完善制度，严格规范管理，促进民间资本投资国土资源领域的持续健康发展。</w:t>
      </w:r>
    </w:p>
    <w:p w:rsidR="005E0922" w:rsidRPr="005E0922" w:rsidRDefault="005E0922" w:rsidP="005E0922">
      <w:pPr>
        <w:widowControl/>
        <w:shd w:val="clear" w:color="auto" w:fill="FFFFFF"/>
        <w:spacing w:before="225"/>
        <w:jc w:val="right"/>
        <w:rPr>
          <w:rFonts w:ascii="微软雅黑" w:eastAsia="微软雅黑" w:hAnsi="微软雅黑" w:cs="宋体"/>
          <w:color w:val="000000"/>
          <w:kern w:val="0"/>
          <w:sz w:val="27"/>
          <w:szCs w:val="27"/>
        </w:rPr>
      </w:pPr>
      <w:r w:rsidRPr="005E0922">
        <w:rPr>
          <w:rFonts w:ascii="微软雅黑" w:eastAsia="微软雅黑" w:hAnsi="微软雅黑" w:cs="宋体" w:hint="eastAsia"/>
          <w:color w:val="000000"/>
          <w:kern w:val="0"/>
          <w:sz w:val="27"/>
          <w:szCs w:val="27"/>
        </w:rPr>
        <w:t>二〇一二年六月十五日</w:t>
      </w:r>
    </w:p>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5E0922"/>
    <w:p w:rsidR="005E0922" w:rsidRDefault="005E0922" w:rsidP="001A0559">
      <w:pPr>
        <w:pStyle w:val="3"/>
        <w:jc w:val="center"/>
        <w:rPr>
          <w:sz w:val="30"/>
          <w:szCs w:val="30"/>
        </w:rPr>
      </w:pPr>
      <w:bookmarkStart w:id="100" w:name="_Toc12864251"/>
      <w:r w:rsidRPr="001A0559">
        <w:rPr>
          <w:rFonts w:hint="eastAsia"/>
          <w:sz w:val="30"/>
          <w:szCs w:val="30"/>
        </w:rPr>
        <w:lastRenderedPageBreak/>
        <w:t>招标拍卖挂牌出让国有建设用地使用权规定（中华人民共和国国土资源部令第</w:t>
      </w:r>
      <w:r w:rsidRPr="001A0559">
        <w:rPr>
          <w:rFonts w:hint="eastAsia"/>
          <w:sz w:val="30"/>
          <w:szCs w:val="30"/>
        </w:rPr>
        <w:t>39</w:t>
      </w:r>
      <w:r w:rsidRPr="001A0559">
        <w:rPr>
          <w:rFonts w:hint="eastAsia"/>
          <w:sz w:val="30"/>
          <w:szCs w:val="30"/>
        </w:rPr>
        <w:t>号）</w:t>
      </w:r>
      <w:bookmarkEnd w:id="100"/>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《招标拍卖挂牌出让国有建设用地使用权规定》，已经2007年9月21日国土资源部第3次部务会议审议通过。现将《招标拍卖挂牌出让国有建设用地使用权规定》公布，自2007年11月1日起施行。</w:t>
      </w:r>
    </w:p>
    <w:p w:rsidR="001A0559" w:rsidRPr="001A0559" w:rsidRDefault="001A0559" w:rsidP="001A0559">
      <w:pPr>
        <w:widowControl/>
        <w:shd w:val="clear" w:color="auto" w:fill="FFFFFF"/>
        <w:jc w:val="righ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部长 徐绍史</w:t>
      </w:r>
    </w:p>
    <w:p w:rsidR="001A0559" w:rsidRDefault="001A0559" w:rsidP="001A0559">
      <w:pPr>
        <w:widowControl/>
        <w:shd w:val="clear" w:color="auto" w:fill="FFFFFF"/>
        <w:jc w:val="righ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二○○七年九月二十八日</w:t>
      </w:r>
    </w:p>
    <w:p w:rsidR="001A0559" w:rsidRPr="001A0559" w:rsidRDefault="001A0559" w:rsidP="001A0559">
      <w:pPr>
        <w:widowControl/>
        <w:shd w:val="clear" w:color="auto" w:fill="FFFFFF"/>
        <w:jc w:val="right"/>
        <w:rPr>
          <w:rFonts w:ascii="微软雅黑" w:eastAsia="微软雅黑" w:hAnsi="微软雅黑" w:cs="宋体"/>
          <w:color w:val="000000"/>
          <w:kern w:val="0"/>
          <w:sz w:val="27"/>
          <w:szCs w:val="27"/>
        </w:rPr>
      </w:pPr>
    </w:p>
    <w:p w:rsid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 xml:space="preserve">　招标拍卖挂牌出让国有建设用地使用权规定</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（2002年4月3日国土资源部第4次部务会议通过 2007年9月21日国土资源部第3次部务会议修订）</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第一条 为规范国有建设用地使用权出让行为，优化土地资源配置，建立公开、公平、公正的土地使用制度，根据《中华人民共和国物权法》、《中华人民共和国土地管理法》、《中华人民共和国城市房地产管理法》和《中华人民共和国土地管理法实施条例》，制定本规定。</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第二条 在中华人民共和国境内以招标、拍卖或者挂牌出让方式在土地的地表、地上或者地下设立国有建设用地使用权的，适用本规定。 </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本规定所称招标出让国有建设用地使用权，是指市、县人民政府国土资源行政主管部门（以下简称出让人）发布招标公告，邀请特定或者不特定的自然人、法人和其他组织参加国有建设用地使用权投标，根据投标结果确定国有建设用地使用权人的行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本规定所称拍卖出让国有建设用地使用权，是指出让人发布拍卖公告，由竞买人在指定时间、地点进行公开竞价，根据出价结果确定国有建设用地使用权人的行为。 </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本规定所称挂牌出让国有建设用地使用权，是指出让人发布挂牌公告，按公告规定的期限将拟出让宗地的交易条件在指定的土地交易场所挂牌公布，接受竞买人的报价申请并更新挂牌价格，根据挂牌期限截止时的出价结果或者现场竞价结果确定国有建设用地使用权人的行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第三条 招标、拍卖或者挂牌出让国有建设用地使用权，应当遵循公开、公平、公正和诚信的原则。</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第四条 工业、商业、旅游、娱乐和商品住宅等经营性用地以及同一宗地有两个以上意向用地者的，应当以招标、拍卖或者挂牌方式出让。</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前款规定的工业用地包括仓储用地，但不包括采矿用地。 </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第五条 国有建设用地使用权招标、拍卖或者挂牌出让活动，应当有计划地进行。</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市、县人民政府国土资源行政主管部门根据经济社会发展计划、产业政策、土地利用总体规划、土地利用年度计划、城市规划和土地市场状况，编制国有建设用地使用权出让年度计划，报经同级人民政府批准后，及时向社会公开发布。</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第六条 市、县人民政府国土资源行政主管部门应当按照出让年度计划，会同城市规划等有关部门共同拟订拟招标拍卖挂牌出让地块的出让方案，报经市、县人民政府批准后，由市、县人民政府国土资源行政主管部门组织实施。</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前款规定的出让方案应当包括出让地块的空间范围、用途、年限、出让方式、时间和其他条件等。</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第七条 出让人应当根据招标拍卖挂牌出让地块的情况，编制招标拍卖挂牌出让文件。</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招标拍卖挂牌出让文件应当包括出让公告、投标或者竞买须知、土地使用条件、标书或者竞买申请书、报价单、中标通知书或者成交确认书、国有建设用地使用权出让合同文本。</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第八条 出让人应当至少在投标、拍卖或者挂牌开始日前 20日，在土地有形市场或者指定的场所、媒介发布招标、拍卖或者挂牌公告，公布招标拍卖挂牌出让宗地的基本情况和招标拍卖挂牌的时间、地点。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第九条 招标拍卖挂牌公告应当包括下列内容：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（一）出让人的名称和地址；</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（二）出让宗地的面积、界址、空间范围、现状、使用年期、用途、规划指标要求；</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（三）投标人、竞买人的资格要求以及申请取得投标、竞买资格的办法；</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（四）索取招标拍卖挂牌出让文件的时间、地点和方式；</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（五）招标拍卖挂牌时间、地点、投标挂牌期限、投标和竞价方式等；</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（六）确定中标人、竞得人的标准和方法；</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（七）投标、竞买保证金；</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（八）其他需要公告的事项。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第十条 市、县人民政府国土资源行政主管部门应当根据土地估价结果和政府产业政策综合确定标底或者底价。</w:t>
      </w:r>
      <w:r w:rsidRPr="001A0559">
        <w:rPr>
          <w:rFonts w:ascii="微软雅黑" w:eastAsia="微软雅黑" w:hAnsi="微软雅黑" w:cs="宋体" w:hint="eastAsia"/>
          <w:color w:val="000000"/>
          <w:kern w:val="0"/>
          <w:sz w:val="27"/>
          <w:szCs w:val="27"/>
        </w:rPr>
        <w:br/>
        <w:t>标底或者底价不得低于国家规定的最低价标准。</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确定招标标底，拍卖和挂牌的起叫价、起始价、底价，投标、竞买保证金，应当实行集体决策。</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招标标底和拍卖挂牌的底价，在招标开标前和拍卖挂牌出让活动结束之前应当保密。</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第十一条 中华人民共和国境内外的自然人、法人和其他组织，除法律、法规另有规定外，均可申请参加国有建设用地使用权招标拍卖挂牌出让活动。</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出让人在招标拍卖挂牌出让公告中不得设定影响公平、公正竞争的限制条件。挂牌出让的，出让公告中规定的申请截止时间，应当为挂牌出让结束日前2天。对符合招标拍卖挂牌公告规定条件的申请人，出让人应当通知其参加招标拍卖挂牌活动。</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第十二条 市、县人民政府国土资源行政主管部门应当为投标人、竞买人查询拟出让土地的有关情况提供便利。</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第十三条 投标、开标依照下列程序进行：</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（一）投标人在投标截止时间前将标书投入标箱。招标公告允许邮寄标书的，投标人可以邮寄，但出让人在投标截止时间前收到的方为有效。</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标书投入标箱后，不可撤回。投标人应当对标书和有关书面承诺承担责任。</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二）出让人按照招标公告规定的时间、地点开标，邀请所有投标人参加。由投标人或者其推选的代表检查标箱的密封情况，当众开启标箱，点算标书。投标人少于三人的，出让人应当终止招标活动。投标人不少于三人的，应当逐一宣布投标人名称、投标价格和投标文件的主要内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（三）评标小组进行评标。评标小组由出让人代表、有关专家组成，成员人数为五人以上的单数。</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评标小组可以要求投标人对投标文件作出必要的澄清或者说明，但是澄清或者说明不得超出投标文件的范围或者改变投标文件的实质性内容。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评标小组应当按照招标文件确定的评标标准和方法，对投标文件进行评审。</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（四）招标人根据评标结果，确定中标人。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按照价高者得的原则确定中标人的，可以不成立评标小组，由招标主持人根据开标结果，确定中标人。 </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第十四条 对能够最大限度地满足招标文件中规定的各项综合评价标准，或者能够满足招标文件的实质性要求且价格最高的投标人，应当确定为中标人。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第十五条 拍卖会依照下列程序进行：</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（一）主持人点算竞买人；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（二）主持人介绍拍卖宗地的面积、界址、空间范围、现状、用途、使用年期、规划指标要求、开工和竣工时间以及其他有关事项；</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（三）主持人宣布起叫价和增价规则及增价幅度。没有底价的，应当明确提示；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（四）主持人报出起叫价；</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（五）竞买人举牌应价或者报价；</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（六）主持人确认该应价或者报价后继续竞价；</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（七）主持人连续三次宣布同一应价或者报价而没有再应价或者报价的，主持人落槌表示拍卖成交；</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（八）主持人宣布最高应价或者报价者为竞得人。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第十六条 竞买人的最高应价或者报价未达到底价时，主持人应当终止拍卖。</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拍卖主持人在拍卖中可以根据竞买人竞价情况调整拍卖增价幅度。</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第十七条 挂牌依照以下程序进行：</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在挂牌公告规定的挂牌起始日，出让人将挂牌宗地的面积、界址、空间范围、现状、用途、使用年期、规划指标要求、开工时间和竣工时间、起始价、增价规则及增价幅度等，在挂牌公告规定的土地交易场所挂牌公布；</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（二）符合条件的竞买人填写报价单报价；</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（三）挂牌主持人确认该报价后，更新显示挂牌价格；</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（四）挂牌主持人在挂牌公告规定的挂牌截止时间确定竞得人。</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第十八条 挂牌时间不得少于10日。挂牌期间可根据竞买人竞价情况调整增价幅度。</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第十九条 挂牌截止应当由挂牌主持人主持确定。挂牌期限届满，挂牌主持人现场宣布最高报价及其报价者，并询问竞买人是否愿意继续竞价。有竞买人表示愿意继续竞价的，挂牌出让转入现场竞价，通过现场竞价</w:t>
      </w:r>
      <w:r w:rsidRPr="001A0559">
        <w:rPr>
          <w:rFonts w:ascii="微软雅黑" w:eastAsia="微软雅黑" w:hAnsi="微软雅黑" w:cs="宋体" w:hint="eastAsia"/>
          <w:color w:val="000000"/>
          <w:kern w:val="0"/>
          <w:sz w:val="27"/>
          <w:szCs w:val="27"/>
        </w:rPr>
        <w:lastRenderedPageBreak/>
        <w:t>确定竞得人。挂牌主持人连续三次报出最高挂牌价格，没有竞买人表示愿意继续竞价的，按照下列规定确定是否成交：</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（一）在挂牌期限内只有一个竞买人报价，且报价不低于底价，并符合其他条件的，挂牌成交；</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（二）在挂牌期限内有两个或者两个以上的竞买人报价的，出价最高者为竞得人；报价相同的，先提交报价单者为竞得人，但报价低于底价者除外；</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（三）在挂牌期限内无应价者或者竞买人的报价均低于底价或者均不符合其他条件的，挂牌不成交。</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第二十条 以招标、拍卖或者挂牌方式确定中标人、竞得人后，中标人、竞得人支付的投标、竞买保证金，转作受让地块的定金。出让人应当向中标人发出中标通知书或者与竞得人签订成交确认书。</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中标通知书或者成交确认书应当包括出让人和中标人或者竞得人的名称，出让标的，成交时间、地点、价款以及签订国有建设用地使用权出让合同的时间、地点等内容。 </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中标通知书或者成交确认书对出让人和中标人或者竞得人具有法律效力。出让人改变竞得结果，或者中标人、竞得人放弃中标宗地、竞得宗地的，应当依法承担责任。</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第二十一条 中标人、竞得人应当按照中标通知书或者成交确认书约定的时间，与出让人签订国有建设用地使用权出让合同。中标人、竞得人支付的投标、竞买保证金抵作土地出让价款；其他投标人、竞买人支付</w:t>
      </w:r>
      <w:r w:rsidRPr="001A0559">
        <w:rPr>
          <w:rFonts w:ascii="微软雅黑" w:eastAsia="微软雅黑" w:hAnsi="微软雅黑" w:cs="宋体" w:hint="eastAsia"/>
          <w:color w:val="000000"/>
          <w:kern w:val="0"/>
          <w:sz w:val="27"/>
          <w:szCs w:val="27"/>
        </w:rPr>
        <w:lastRenderedPageBreak/>
        <w:t>的投标、竞买保证金，出让人必须在招标拍卖挂牌活动结束后5 个工作日内予以退还，不计利息。</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第二十二条 招标拍卖挂牌活动结束后，出让人应在 10个工作日内将招标拍卖挂牌出让结果在土地有形市场或者指定的场所、媒介公布。</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出让人公布出让结果，不得向受让人收取费用。</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第二十三条 受让人依照国有建设用地使用权出让合同的约定付清全部土地出让价款后，方可申请办理土地登记，领取国有建设用地使用权证书。</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未按出让合同约定缴清全部土地出让价款的，不得发放国有建设用地使用权证书，也不得按出让价款缴纳比例分割发放国有建设用地使用权证书。</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第二十四条 应当以招标拍卖挂牌方式出让国有建设用地使用权而擅自采用协议方式出让的，对直接负责的主管人员和其他直接责任人员依法给予处分；构成犯罪的，依法追究刑事责任。</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第二十五条 中标人、竞得人有下列行为之一的，中标、竞得结果无效；造成损失的，应当依法承担赔偿责任：</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（一）提供虚假文件隐瞒事实的；</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（二）采取行贿、恶意串通等非法手段中标或者竞得的。</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第二十六条 国土资源行政主管部门的工作人员在招标拍卖挂牌出让活动中玩忽职守、滥用职权、徇私舞弊的，依法给予处分；构成犯罪的，依法追究刑事责任。</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lastRenderedPageBreak/>
        <w:t>第二十七条 以招标拍卖挂牌方式租赁国有建设用地使用权的，参照本规定执行。</w:t>
      </w:r>
    </w:p>
    <w:p w:rsidR="001A0559" w:rsidRPr="001A0559" w:rsidRDefault="001A0559" w:rsidP="001A0559">
      <w:pPr>
        <w:widowControl/>
        <w:shd w:val="clear" w:color="auto" w:fill="FFFFFF"/>
        <w:jc w:val="left"/>
        <w:rPr>
          <w:rFonts w:ascii="微软雅黑" w:eastAsia="微软雅黑" w:hAnsi="微软雅黑" w:cs="宋体"/>
          <w:color w:val="000000"/>
          <w:kern w:val="0"/>
          <w:sz w:val="27"/>
          <w:szCs w:val="27"/>
        </w:rPr>
      </w:pPr>
      <w:r w:rsidRPr="001A0559">
        <w:rPr>
          <w:rFonts w:ascii="微软雅黑" w:eastAsia="微软雅黑" w:hAnsi="微软雅黑" w:cs="宋体" w:hint="eastAsia"/>
          <w:color w:val="000000"/>
          <w:kern w:val="0"/>
          <w:sz w:val="27"/>
          <w:szCs w:val="27"/>
        </w:rPr>
        <w:t>第二十八条 本规定自 2007年 11 月 1 日起施行。</w:t>
      </w:r>
    </w:p>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Pr>
        <w:pStyle w:val="2"/>
        <w:jc w:val="center"/>
      </w:pPr>
      <w:bookmarkStart w:id="101" w:name="_Toc12864252"/>
      <w:r>
        <w:rPr>
          <w:rFonts w:hint="eastAsia"/>
        </w:rPr>
        <w:t>2</w:t>
      </w:r>
      <w:r>
        <w:rPr>
          <w:rFonts w:hint="eastAsia"/>
        </w:rPr>
        <w:t>、特色小镇</w:t>
      </w:r>
      <w:bookmarkEnd w:id="101"/>
    </w:p>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 w:rsidR="001A0559" w:rsidRDefault="001A0559" w:rsidP="001A0559">
      <w:pPr>
        <w:pStyle w:val="3"/>
        <w:jc w:val="center"/>
        <w:rPr>
          <w:sz w:val="30"/>
          <w:szCs w:val="30"/>
        </w:rPr>
      </w:pPr>
      <w:bookmarkStart w:id="102" w:name="_Toc12864253"/>
      <w:r w:rsidRPr="001A0559">
        <w:rPr>
          <w:rFonts w:hint="eastAsia"/>
          <w:sz w:val="30"/>
          <w:szCs w:val="30"/>
        </w:rPr>
        <w:lastRenderedPageBreak/>
        <w:t>国家发展改革委办公厅关于建立特色小镇和特色小城镇高质量发展机制的通知（发改办规划〔</w:t>
      </w:r>
      <w:r w:rsidRPr="001A0559">
        <w:rPr>
          <w:rFonts w:hint="eastAsia"/>
          <w:sz w:val="30"/>
          <w:szCs w:val="30"/>
        </w:rPr>
        <w:t>2018</w:t>
      </w:r>
      <w:r w:rsidRPr="001A0559">
        <w:rPr>
          <w:rFonts w:hint="eastAsia"/>
          <w:sz w:val="30"/>
          <w:szCs w:val="30"/>
        </w:rPr>
        <w:t>〕</w:t>
      </w:r>
      <w:r w:rsidRPr="001A0559">
        <w:rPr>
          <w:rFonts w:hint="eastAsia"/>
          <w:sz w:val="30"/>
          <w:szCs w:val="30"/>
        </w:rPr>
        <w:t>1041</w:t>
      </w:r>
      <w:r w:rsidRPr="001A0559">
        <w:rPr>
          <w:rFonts w:hint="eastAsia"/>
          <w:sz w:val="30"/>
          <w:szCs w:val="30"/>
        </w:rPr>
        <w:t>号）</w:t>
      </w:r>
      <w:bookmarkEnd w:id="102"/>
    </w:p>
    <w:p w:rsidR="001A0559" w:rsidRPr="001A0559" w:rsidRDefault="001A0559" w:rsidP="001A0559">
      <w:pPr>
        <w:widowControl/>
        <w:shd w:val="clear" w:color="auto" w:fill="FFFFFF"/>
        <w:spacing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各省、自治区、直辖市及计划单列市、新疆生产建设兵团发展改革委，住房城乡建设部、国家体育总局、国家开发银行、中国农业发展银行、中国光大银行办公厅(室)：</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特色小镇和特色小城镇是新型城镇化与乡村振兴的重要结合点，也是促进经济高质量发展的重要平台。党中央、国务院高度重视，国家发展改革委等部门先后印发实施《关于加快美丽特色小(城)镇建设的指导意见》《关于规范推进特色小镇和特色小城镇建设的若干意见》，引导特色小镇和特色小城镇发展取得一定成效，概念不清、盲目发展及房地产化苗头得到一定纠正。为进一步对标对表党的十九大精神，巩固纠偏成果、有力有序有效推动高质量发展，现通知如下。</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一、总体要求</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一)指导思想。全面贯彻党的十九大精神，以习近平新时代中国特色社会主义思想为指导，坚持以人民为中心，坚持稳中求进工作总基调，坚持新发展理念，坚持使市场在资源配置中起决定性作用和更好发挥政府作用，以引导特色产业发展为核心，以严格遵循发展规律、严控房地产化倾向、严防政府债务风险为底线，以建立规范纠偏机制、典型引路机制、服务支撑机制为重点，加快建立特色小镇和特色小城镇高质量发展机制，释放城乡融合发展和内需增长新空间，促进经济高质量发展。</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lastRenderedPageBreak/>
        <w:t>(二)基本原则。</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——坚持遵循规律。立足各地区发展阶段，遵循经济规律和城镇化规律，实事求是、因地制宜、量力而行，使特色小镇和特色小城镇建设成为市场主导、自然发展的过程。</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——坚持产业立镇。立足各地区比较优势，全面优化营商环境，引导企业扩大有效投资，发展特色小镇投资运营商，打造宜业宜居宜游的特色小镇和特色小城镇，培育供给侧小镇经济。</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——坚持规范发展。统筹规范特色小镇和特色小城镇创建工作，把握内涵、纠正偏差、正本清源，坚决淘汰一批缺乏产业前景、变形走样异化的小镇和小城镇。</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——坚持典型引路。逐步挖掘特色小镇和特色小城镇典型案例，总结提炼、树立标杆、推广经验、正面引导，以少带多引领面上高质量发展，确保沿正确轨道健康前行。</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——坚持优化服务。明确政府角色定位，顺势而为、因势利导，重在理念引导、规划制定、平台搭建和政策创新，使特色小镇和特色小城镇建设成为政府引导、高质量发展的过程。</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二、建立规范纠偏机制</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lastRenderedPageBreak/>
        <w:t>以正确把握、合理布局、防范变形走样为导向，统筹调整优化有关部门和省级现有创建机制，强化年度监测评估和动态调整，确保数量服从于质量。</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三)规范省级创建机制。各地区要依据特色小镇与特色小城镇本质内涵的差异性，调整并分列现有省级特色小镇和特色小城镇创建名单，分类明确功能定位和发展模式；在创建名单中，逐年淘汰住宅用地占比过高、有房地产化倾向的不实小镇，政府综合债务率超过100%市县通过国有融资平台公司变相举债建设的风险小镇，以及特色不鲜明、产镇不融合、破坏生态环境的问题小镇；对创建名单外的小镇和小城镇，加强监督检查整改。省级发展改革委于每年12月，将调整淘汰后的省级特色小镇和特色小城镇创建名单、数据(表2、3)，报送国家发展改革委。</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四)优化部门创建机制。发挥推进新型城镇化工作部际联席会议机制作用，国家发展改革委会同国务院有关部门优化现有创建机制，统一实行有进有退的创建达标制，避免一次性命名制，防止各地区只管前期申报、不管后期发展与纠偏。有关部门按照《关于规范推进特色小镇和特色小城镇建设的若干意见》要求，在已公布的96个全国运动休闲特色小镇、两批403个全国特色小城镇创建名单中，持续开展评估督导和优胜劣汰，适时公布整改名单，有关情况及时送国家发展改革委。对创建名单外的小镇和小城镇加强监测，视情况动态公布警示名单。</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三、建立典型引路机制</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lastRenderedPageBreak/>
        <w:t>以正面引领高质量发展为导向，持续挖掘典型案例、总结有益经验、树立示范性标杆，引导处于发展过程中的小镇和小城镇对标典型、学习先进。</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五)建立典型经验推广机制。逐年组织各地区挖掘并推荐模式先进、成效突出、经验普适的特色小镇和特色小城镇，按少而精原则从中分批选择典型案例，总结提炼特色产业发展、产镇人文融合和机制政策创新等典型经验，以有效方式在全国范围推广，发挥引领示范带动作用。2018年9月底前，省级发展改革委将第一批特色小镇推荐案例(2个以内，表1)，报送国家发展改革委。</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六)明确典型特色小镇条件。基本条件是：立足一定资源禀赋或产业基础，区别于行政建制镇和产业园区，利用3平方公里左右国土空间(其中建设用地1平方公里左右)，在差异定位和领域细分中构建小镇大产业，集聚高端要素和特色产业，兼具特色文化、特色生态和特色建筑等鲜明魅力，打造高效创业圈、宜居生活圈、繁荣商业圈、美丽生态圈，形成产业特而强、功能聚而合、形态小而美、机制新而活的创新创业平台。</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七)明确典型特色小城镇条件。基本条件是：立足工业化城镇化发展阶段和发展潜力，打造特色鲜明的产业形态、便捷完善的设施服务、和谐宜居的美丽环境、底蕴深厚的传统文化、精简高效的体制机制，实现特色支柱产业在镇域经济中占主体地位、在国内国际市场占一定份额，拥</w:t>
      </w:r>
      <w:r w:rsidRPr="001A0559">
        <w:rPr>
          <w:rFonts w:ascii="微软雅黑" w:eastAsia="微软雅黑" w:hAnsi="微软雅黑" w:cs="宋体"/>
          <w:color w:val="000000"/>
          <w:kern w:val="0"/>
          <w:sz w:val="27"/>
          <w:szCs w:val="27"/>
        </w:rPr>
        <w:lastRenderedPageBreak/>
        <w:t>有一批知名品牌和企业，镇区常住人口达到一定规模，带动乡村振兴能力较强，形成具有核心竞争力的行政建制镇排头兵和经济发达镇升级版。</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八)探索差异化多样化经验。鼓励各地区挖掘多种类型小镇案例，避免模式雷同、难以推广。立足不同产业门类，挖掘先进制造类、农业田园类及信息、科创、金融、教育、商贸、文旅、体育等现代服务类案例。立足不同地理区位，挖掘“市郊镇”“市中镇”“园中镇”“镇中镇”等特色小镇案例，以及卫星型、专业型等特色小城镇案例。立足不同运行模式，挖掘在机制政策创新、政企合作、投融资模式等方面的先进经验。</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四、建立服务支撑机制</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以政府引导、企业主体、市场化运作为导向，稳步推动符合规律、富有潜力的特色小镇和特色小城镇高质量发展，为产生更多先进典型提供制度土壤。</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九)鼓励地方机制政策创新。鼓励全面优化营商环境，加强指导、优化服务、开放资源。创新财政资金支持方式，由事前补贴转为事中事后弹性奖补。优化供地用地模式，合理安排建设用地指标，依法依规组织配置农业用地和生态用地，鼓励点状供地、混合供地和建筑复合利用。合理配套公用设施，切实完善小镇功能、降低交易成本。推行特色小镇项目综合体立项，允许子项目灵活布局。鼓励商业模式先进、经营业绩优</w:t>
      </w:r>
      <w:r w:rsidRPr="001A0559">
        <w:rPr>
          <w:rFonts w:ascii="微软雅黑" w:eastAsia="微软雅黑" w:hAnsi="微软雅黑" w:cs="宋体"/>
          <w:color w:val="000000"/>
          <w:kern w:val="0"/>
          <w:sz w:val="27"/>
          <w:szCs w:val="27"/>
        </w:rPr>
        <w:lastRenderedPageBreak/>
        <w:t>异、资产负债率合理的企业牵头打造特色小镇，培育特色小镇投资运营商。</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十)搭建政银对接服务平台。引导金融机构逐年为符合高质量发展要求的特色小镇和特色小城镇，在债务风险可控前提下提供长周期低成本融资服务，支持产业发展及基础设施、公共服务设施、智慧化设施等建设。2018年12月底前，省级发展改革委组织收集特色小镇信息(表4)，汇总印送省级开发银行、农业发展银行和光大银行，并会同省行将完成尽调小镇信息报送总行，抄送国家发展改革委。各总行开辟绿色通道，2019年1月底前完成评审和融资服务，将批复投放情况报送国家发展改革委。</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五、组织保障</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十一)强化上下联动。依托推进新型城镇化工作部际联席会议机制，国家发展改革委强化统筹协调和跟踪督导，建立数据共享平台；各有关部门统一行动、合理参与、把握节奏、精益求精。省级发展改革委要增强责任意识，会同有关部门以钉钉子精神抓好落实。</w:t>
      </w:r>
    </w:p>
    <w:p w:rsidR="001A0559" w:rsidRPr="001A0559" w:rsidRDefault="001A0559" w:rsidP="001A0559">
      <w:pPr>
        <w:widowControl/>
        <w:shd w:val="clear" w:color="auto" w:fill="FFFFFF"/>
        <w:spacing w:before="330" w:line="360" w:lineRule="atLeast"/>
        <w:rPr>
          <w:rFonts w:ascii="微软雅黑" w:eastAsia="微软雅黑" w:hAnsi="微软雅黑" w:cs="宋体"/>
          <w:color w:val="000000"/>
          <w:kern w:val="0"/>
          <w:sz w:val="27"/>
          <w:szCs w:val="27"/>
        </w:rPr>
      </w:pPr>
      <w:r w:rsidRPr="001A0559">
        <w:rPr>
          <w:rFonts w:ascii="微软雅黑" w:eastAsia="微软雅黑" w:hAnsi="微软雅黑" w:cs="宋体"/>
          <w:color w:val="000000"/>
          <w:kern w:val="0"/>
          <w:sz w:val="27"/>
          <w:szCs w:val="27"/>
        </w:rPr>
        <w:t>(十二)加强宣传引导。逐年组织现场经验交流会，指导有关方面开展培训和论坛，引导社会各界学习典型、防范风险。发挥主流媒体舆论导向作用，持续报道建设进展，宣传好案例好经验，形成良好舆论氛围。</w:t>
      </w:r>
    </w:p>
    <w:p w:rsidR="001A0559" w:rsidRDefault="001A0559" w:rsidP="001A0559"/>
    <w:p w:rsidR="001A0559" w:rsidRDefault="001A0559" w:rsidP="001A0559"/>
    <w:p w:rsidR="001A0559" w:rsidRDefault="001A0559" w:rsidP="001A0559"/>
    <w:p w:rsidR="001A0559" w:rsidRDefault="001A0559" w:rsidP="001A0559"/>
    <w:p w:rsidR="000C2153" w:rsidRDefault="000C2153" w:rsidP="000C2153">
      <w:pPr>
        <w:pStyle w:val="3"/>
        <w:jc w:val="center"/>
        <w:rPr>
          <w:sz w:val="30"/>
          <w:szCs w:val="30"/>
        </w:rPr>
      </w:pPr>
      <w:bookmarkStart w:id="103" w:name="_Toc12864254"/>
      <w:r w:rsidRPr="000C2153">
        <w:rPr>
          <w:rFonts w:hint="eastAsia"/>
          <w:sz w:val="30"/>
          <w:szCs w:val="30"/>
        </w:rPr>
        <w:lastRenderedPageBreak/>
        <w:t>国家发展改革委等部委关于规范主题公园建设发展的指导意见（发改社会规〔</w:t>
      </w:r>
      <w:r w:rsidRPr="000C2153">
        <w:rPr>
          <w:rFonts w:hint="eastAsia"/>
          <w:sz w:val="30"/>
          <w:szCs w:val="30"/>
        </w:rPr>
        <w:t>2018</w:t>
      </w:r>
      <w:r w:rsidRPr="000C2153">
        <w:rPr>
          <w:rFonts w:hint="eastAsia"/>
          <w:sz w:val="30"/>
          <w:szCs w:val="30"/>
        </w:rPr>
        <w:t>〕</w:t>
      </w:r>
      <w:r w:rsidRPr="000C2153">
        <w:rPr>
          <w:rFonts w:hint="eastAsia"/>
          <w:sz w:val="30"/>
          <w:szCs w:val="30"/>
        </w:rPr>
        <w:t>400</w:t>
      </w:r>
      <w:r w:rsidRPr="000C2153">
        <w:rPr>
          <w:rFonts w:hint="eastAsia"/>
          <w:sz w:val="30"/>
          <w:szCs w:val="30"/>
        </w:rPr>
        <w:t>号）</w:t>
      </w:r>
      <w:bookmarkEnd w:id="103"/>
    </w:p>
    <w:p w:rsidR="000C2153" w:rsidRPr="000C2153" w:rsidRDefault="000C2153" w:rsidP="000C2153">
      <w:pPr>
        <w:widowControl/>
        <w:shd w:val="clear" w:color="auto" w:fill="FFFFFF"/>
        <w:spacing w:after="45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各省、自治区、直辖市人民政府，国务院各有关部门、直属机构：</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近年来，各地先后建设了一些主题公园，对于满足广大人民群众日益增长的文化旅游需要、完善城市功能等发挥了积极作用，成为旅游业创新发展的重要业态。但是，主题公园建设发展中也出现了概念不清、盲目建设、模仿抄袭、低水平重复等问题，有些地区出现了地方债务风险和房地产化倾向。为深入贯彻落实党中央、国务院领导同志重要批示精神，现就规范主题公园建设发展提出以下意见。</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一、总体要求</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指导思想。深入学习贯彻习近平新时代中国特色社会主义思想和党的十九大精神，坚持以人民为中心，坚持新发展理念，使市场在资源配置中起决定性作用，更好发挥政府作用，科学规划、合理布局，因地制宜、打造精品，遵循旅游市场客观发展规律，传承中华文化，讲好中国故事，发展类型多样、特色鲜明、内涵丰富、游客欢迎的主题公园项目，促进我国主题公园行业健康有序发展，满足人民群众的文化旅游需求。</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（二）基本原则。</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坚持市场主导。按照企业主导、政府引导、市场运作、行业自律的要求，营造各类投资主体公平参与的市场环境。充分发挥政府制定规划政策、优化监管服务等作用，防止形成地方债务风险、社会风险和金融风险。</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——坚持因地制宜。从各地实际出发，遵循旅游市场规律和行业发展特点，实事求是、量力而行、控制总量、提升质量，形成健康、有序、可持续的发展格局，防止盲目建设、一哄而上。</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坚持聚焦主业。充分发挥主题公园集文化、旅游、科技、娱乐为一体的特点，以满足人民群众文化旅游需要为核心目标，打造优秀的文化旅游产品，合理控制主题公园周边配套产业规模，防止变形走样、借主题公园大搞房地产开发。</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——坚持创新发展。创新主题公园发展业态和经营模式，不断提高科技含量、丰富文化内涵、提升建设水平和服务质量，实现多样化、特色化、差异化、内涵式发展，防止模仿抄袭、低水平重复建设。</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二、科学规划</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（三）合理界定范围。本意见中所称的主题公园，是指以营利为目的兴建的，占地、投资达到一定规模，实行封闭管理，具有一个或多个特定文化旅游主题，为游客有偿提供休闲体验、文化娱乐产品或服务的</w:t>
      </w:r>
      <w:r w:rsidRPr="000C2153">
        <w:rPr>
          <w:rFonts w:ascii="微软雅黑" w:eastAsia="微软雅黑" w:hAnsi="微软雅黑" w:cs="宋体" w:hint="eastAsia"/>
          <w:color w:val="000000"/>
          <w:kern w:val="0"/>
          <w:sz w:val="27"/>
          <w:szCs w:val="27"/>
        </w:rPr>
        <w:lastRenderedPageBreak/>
        <w:t>园区。主要包括：以大型游乐设施为主体的游乐园，大型微缩景观公园，以及提供情景模拟、环境体验为主要内容的各类影视城、动漫城等园区。政府建设的各类公益性的城镇公园、动植物园等不属于主题公园。</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四）明确规模等级。结合我国当前实际，将主题公园划分为特大型、大型和中小型三个等级。总占地面积2000亩及以上或总投资50亿元及以上的，为特大型主题公园；总占地面积600亩及以上、不足2000亩或总投资15亿元及以上、不足50亿元的，为大型主题公园；总占地面积200亩及以上、不足600亩或总投资2亿元及以上、不足15亿元的，为中小型主题公园。</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五）科学论证发展。省级政府要根据本地区经济社会发展情况、区域人口规模、城市化程度和旅游市场条件等因素，严格科学论证，统筹研究本区域主题公园项目的数量和布局。严格控制新建、扩建特大型主题公园，省级政府对本地区特大型主题公园项目建设进行科学论证，对未经省级政府论证的项目不得报请国务院进行核准。合理规划大型主题公园，符合条件的可纳入本省（区、市）经济社会发展、旅游发展等重大规划和相关区域规划。要防止一哄而起、盲目发展、重复模仿、同质化竞争，防范地方债务、社会、金融等风险。</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（六）合理规划布局。主题公园项目选址应当符合土地利用总体规划和城市、镇总体规划以及相关专项规划。统筹考虑主题公园项目游客众多、人员密集的特点，合理规划选址布局，避免与住宅等人员密集区</w:t>
      </w:r>
      <w:r w:rsidRPr="000C2153">
        <w:rPr>
          <w:rFonts w:ascii="微软雅黑" w:eastAsia="微软雅黑" w:hAnsi="微软雅黑" w:cs="宋体" w:hint="eastAsia"/>
          <w:color w:val="000000"/>
          <w:kern w:val="0"/>
          <w:sz w:val="27"/>
          <w:szCs w:val="27"/>
        </w:rPr>
        <w:lastRenderedPageBreak/>
        <w:t>域交叉叠加。在主题公园周边地区，合理规划酒店、餐饮、购物、娱乐、交通等服务设施建设，控制与主题公园无关的住宅、写字楼等项目。在主题公园园区内，要合理配套商业设施用地面积，不得擅自改变园区土地用途，严禁进行住宅、酒店、写字楼、大型购物中心等房地产开发。</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三、严格规范</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七）严格用地管理。严格落实最严格的耕地保护制度和节约用地制度，合理确定主题公园占地规模。主题公园用地要优先利用存量和低效建设用地，严格控制新增建设用地，禁止占用耕地（亦不得通过先行办理分批次农用地转用等形式变相占用耕地）、天然林地、国家级公益林地和城镇公园绿地，禁止违规填海建设主题公园。主题公园用地应按照国家土地管理有关规定通过招拍挂等方式取得，严禁采取划拨方式。</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八）严守生态保护红线。各地区要严格执行《关于划定并严守生态保护红线的若干意见》要求，严禁违规在自然保护区、文化自然遗产、风景名胜区、森林公园和地质公园、饮用水水源保护区、重点（重要）生态功能区以及其他生态保护红线区域选址建设主题公园。主题公园建设应依法履行环境影响评价程序，采取严格的生态环境保护措施，严禁破坏生态环境。</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（九）严格核准程序。主题公园核准要严格执行《企业投资项目核准和备案管理条例》《政府核准的投资项目目录》的相关规定，按规定</w:t>
      </w:r>
      <w:r w:rsidRPr="000C2153">
        <w:rPr>
          <w:rFonts w:ascii="微软雅黑" w:eastAsia="微软雅黑" w:hAnsi="微软雅黑" w:cs="宋体" w:hint="eastAsia"/>
          <w:color w:val="000000"/>
          <w:kern w:val="0"/>
          <w:sz w:val="27"/>
          <w:szCs w:val="27"/>
        </w:rPr>
        <w:lastRenderedPageBreak/>
        <w:t>应由省级政府核准的主题公园项目，省级相关部门在政策把握、规划布局、资源开发配置等方面要严格控制，不得下放核准权限。</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严控房地产倾向。各地区要严格控制主题公园周边的房地产开发，从严限制主题公园周边住宅用地比例和建设规模，不得通过调整规划为主题公园项目配套房地产开发用地。主题公园周边的酒店、餐饮、购物、住宅等房地产开发项目，必须单独供地、单独审批，不得与主题公园捆绑供地、捆绑审批，也不得通过在招拍挂中设置条件，变相将主题公园与周边房地产捆绑开发。对拟新增立项的主题公园项目要科学论证评估，严格把关审查，防范“假公园真地产”项目。</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一）严防地方债务风险。科学论证主题公园建设项目，将企业是否建立长期稳定的投入机制和创新机制作为项目审批的重要条件之一，确保主题公园项目长期稳定运营。各地区要统筹考虑综合债务率、现有财力、资金筹措和还款来源，稳妥把握主题公园配套基础设施建设节奏。要量力而行，严格控制因主题公园建设增加地方债务。</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四、提升质量</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二）丰富文化内涵。深入挖掘中华优秀传统文化内涵，鼓励将中国元素融入到主题公园游乐项目中，积极弘扬社会主义核心价值观，讲好中国故事，传承好中华文化基因。引导主题公园企业建立长期投入机制，定期更新主题公园的设施设备，鼓励文化创意，不断创新各种体</w:t>
      </w:r>
      <w:r w:rsidRPr="000C2153">
        <w:rPr>
          <w:rFonts w:ascii="微软雅黑" w:eastAsia="微软雅黑" w:hAnsi="微软雅黑" w:cs="宋体" w:hint="eastAsia"/>
          <w:color w:val="000000"/>
          <w:kern w:val="0"/>
          <w:sz w:val="27"/>
          <w:szCs w:val="27"/>
        </w:rPr>
        <w:lastRenderedPageBreak/>
        <w:t>验服务、演艺等活动内容。立足区位条件和地域特征，聚焦主题、凸显主题，防止内容重复、形态雷同。</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三）提高科技含量。支持主题公园企业加强科技创新，充分调动社会各方面积极性，促进技术创新、业态创新、内容创新、模式创新和管理创新。支持利用数字技术、仿真、互联网等高新技术支撑文化内容、装备、材料、工艺、系统的开发和利用，加快技术改造步伐。推动动漫游戏与虚拟仿真技术在主题公园设计、制造等领域中的集成应用。加强知识产权运用和保护，健全创新激励机制。</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四）壮大市场主体。积极借鉴国外经验，加强自主创新，注重品牌建设，积极培育文化内涵丰富、有市场影响力的主题公园企业。鼓励挖掘、保护、发展民间特色传统技艺和服务理念，培育具有地方特色的主题公园企业。要延伸产业链、提升价值链，推动主题公园企业通过合作、互相控股、参股等多种方式，在创意设计、旅游规划、衍生产品开发等方面开展业务合作，打造跨界融合的产业集团。支持有条件的主题公园企业“走出去”，扩大产品和服务出口。</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五、组织实施</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（十五）加强组织领导。省级政府对本地区主题公园建设负总责，要强化政府债务风险意识，对主题公园项目建设进行充分论证。要高度重视，明确分工，建立综合协调、规范发展、防范风险的长效机制，统</w:t>
      </w:r>
      <w:r w:rsidRPr="000C2153">
        <w:rPr>
          <w:rFonts w:ascii="微软雅黑" w:eastAsia="微软雅黑" w:hAnsi="微软雅黑" w:cs="宋体" w:hint="eastAsia"/>
          <w:color w:val="000000"/>
          <w:kern w:val="0"/>
          <w:sz w:val="27"/>
          <w:szCs w:val="27"/>
        </w:rPr>
        <w:lastRenderedPageBreak/>
        <w:t>筹研究本地区主题公园建设发展工作，强化管理，及时规范纠偏。要严肃组织查处违反土地用途和建设方案要求、利用主题公园土地开发房地产的行为，防止主题公园房地产化。</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六）加强部门监管。旅游部门要建立健全主题公园相关标准和规范，加强行业指导和宣传引导。发展改革、国土资源、环保、规划等部门要加强对主题公园项目核准、用地、环评、规划等的监管，对未依法依规办理审批手续要及时予以纠正。今后建设主题公园时，应在全国投资项目在线审批监管平台中按主题公园类进行填报，未按主题公园类进行填报的，不得办理各类审批手续，获得相关审批手续的由审批部门按规定予以纠正。</w:t>
      </w:r>
    </w:p>
    <w:p w:rsidR="000C2153" w:rsidRPr="000C2153" w:rsidRDefault="000C2153" w:rsidP="000C2153">
      <w:pPr>
        <w:widowControl/>
        <w:shd w:val="clear" w:color="auto" w:fill="FFFFFF"/>
        <w:spacing w:after="450"/>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七）加强行业自律。培育和支持主题公园及相关行业协会发展，健全完善主题公园行业协会管理，鼓励和指导行业协会制定主题公园建设、经营、服务方面的技术规范，宣介政策法规，提高经营者诚信守法意识。行业协会要加强行业研究和统计分析，及时掌握行业发展动态，促进行业交流，强化行业自律，维护行业权益，营造良好环境。</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国家发展改革委</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 土 资 源 部</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环 境 保 护 部</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住房和城乡建设部</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 家 旅 游 局</w:t>
      </w:r>
    </w:p>
    <w:p w:rsidR="000C2153" w:rsidRPr="000C2153" w:rsidRDefault="000C2153" w:rsidP="000C2153">
      <w:pPr>
        <w:widowControl/>
        <w:shd w:val="clear" w:color="auto" w:fill="FFFFFF"/>
        <w:spacing w:after="450"/>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2018年3月9日</w:t>
      </w:r>
    </w:p>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P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Pr>
        <w:pStyle w:val="3"/>
        <w:jc w:val="center"/>
        <w:rPr>
          <w:sz w:val="30"/>
          <w:szCs w:val="30"/>
        </w:rPr>
      </w:pPr>
      <w:bookmarkStart w:id="104" w:name="_Toc12864255"/>
      <w:r w:rsidRPr="000C2153">
        <w:rPr>
          <w:rFonts w:hint="eastAsia"/>
          <w:sz w:val="30"/>
          <w:szCs w:val="30"/>
        </w:rPr>
        <w:lastRenderedPageBreak/>
        <w:t>国家发展改革委</w:t>
      </w:r>
      <w:r w:rsidRPr="000C2153">
        <w:rPr>
          <w:rFonts w:hint="eastAsia"/>
          <w:sz w:val="30"/>
          <w:szCs w:val="30"/>
        </w:rPr>
        <w:t xml:space="preserve"> </w:t>
      </w:r>
      <w:r w:rsidRPr="000C2153">
        <w:rPr>
          <w:rFonts w:hint="eastAsia"/>
          <w:sz w:val="30"/>
          <w:szCs w:val="30"/>
        </w:rPr>
        <w:t>国土资源部</w:t>
      </w:r>
      <w:r w:rsidRPr="000C2153">
        <w:rPr>
          <w:rFonts w:hint="eastAsia"/>
          <w:sz w:val="30"/>
          <w:szCs w:val="30"/>
        </w:rPr>
        <w:t xml:space="preserve"> </w:t>
      </w:r>
      <w:r w:rsidRPr="000C2153">
        <w:rPr>
          <w:rFonts w:hint="eastAsia"/>
          <w:sz w:val="30"/>
          <w:szCs w:val="30"/>
        </w:rPr>
        <w:t>环境保护部</w:t>
      </w:r>
      <w:r w:rsidRPr="000C2153">
        <w:rPr>
          <w:rFonts w:hint="eastAsia"/>
          <w:sz w:val="30"/>
          <w:szCs w:val="30"/>
        </w:rPr>
        <w:t xml:space="preserve"> </w:t>
      </w:r>
      <w:r w:rsidRPr="000C2153">
        <w:rPr>
          <w:rFonts w:hint="eastAsia"/>
          <w:sz w:val="30"/>
          <w:szCs w:val="30"/>
        </w:rPr>
        <w:t>住房城乡建设部关于规范推进特色小镇和特色小城镇建设的若干意见</w:t>
      </w:r>
      <w:bookmarkEnd w:id="104"/>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各省、自治区、直辖市人民政府，新疆生产建设兵团：</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特色小镇是在几平方公里土地上集聚特色产业、生产生活生态空间相融合、不同于行政建制镇和产业园区的创新创业平台。特色小城镇是拥有几十平方公里以上土地和一定人口经济规模、特色产业鲜明的行政建制镇。近年来，各地区各有关部门认真贯彻落实党中央国务院决策部署，积极稳妥推进特色小镇和小城镇建设，取得了一些进展，积累了一些经验，涌现出一批产业特色鲜明、要素集聚、宜居宜业、富有活力的特色小镇。但在推进过程中，也出现了概念不清、定位不准、急于求成、盲目发展以及市场化不足等问题，有些地区甚至存在政府债务风险加剧和房地产化的苗头。为深入贯彻落实党中央国务院领导同志重要批示指示精神，现就规范推进各地区特色小镇和小城镇建设提出以下意见。</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一、总体要求</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一）指导思想。深入学习贯彻党的十九大精神，以习近平新时代中国特色社会主义思想为指导，坚持以人民为中心，坚持贯彻新发展理念，把特色小镇和小城镇建设作为供给侧结构性改革的重要平台，因地制宜、改革创新，发展产业特色鲜明、服务便捷高效、文化浓郁深厚、环境美丽宜人、体制机制灵活的特色小镇和小城镇，促进新型城镇化建设和经济转型升级。</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（二）基本原则。</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 xml:space="preserve">　　坚持创新探索。创新工作思路、方法和机制，着力培育供给侧小镇经济，努力走出一条特色鲜明、产城融合、惠及群众的新路子，防止“新瓶装旧酒”“穿新鞋走老路”。</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坚持因地制宜。从各地区实际出发，遵循客观规律，实事求是、量力而行、控制数量、提高质量，体现区域差异性，提倡形态多样性，不搞区域平衡、产业平衡、数量要求和政绩考核，防止盲目发展、一哄而上。</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坚持产业建镇。立足各地区要素禀赋和比较优势，挖掘最有基础、最具潜力、最能成长的特色产业，做精做强主导特色产业，打造具有核心竞争力和可持续发展特征的独特产业生态，防止千镇一面和房地产化。</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坚持以人为本。围绕人的城镇化，统筹生产生活生态空间布局，提升服务功能、环境质量、文化内涵和发展品质，打造宜居宜业环境，提高人民获得感和幸福感，防止政绩工程和形象工程。</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坚持市场主导。按照政府引导、企业主体、市场化运作的要求，创新建设模式、管理方式和服务手段，推动多元化主体同心同向、共建共享，发挥政府制定规划政策、搭建发展平台等作用，防止政府大包大揽和加剧债务风险。</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二、重点任务</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三）准确把握特色小镇内涵。各地区要准确理解特色小镇内涵特质，立足产业“特而强”、功能“聚而合”、形态“小而美”、机制“新而活”，推动创新性供给与个性化需求有效对接，打造创新创业发展平台和新型城镇化有效载体。不能把特色小镇当成筐、什么都往里装，不</w:t>
      </w:r>
      <w:r w:rsidRPr="000C2153">
        <w:rPr>
          <w:rFonts w:ascii="微软雅黑" w:eastAsia="微软雅黑" w:hAnsi="微软雅黑" w:cs="宋体" w:hint="eastAsia"/>
          <w:color w:val="000000"/>
          <w:kern w:val="0"/>
          <w:sz w:val="27"/>
          <w:szCs w:val="27"/>
        </w:rPr>
        <w:lastRenderedPageBreak/>
        <w:t>能盲目把产业园区、旅游景区、体育基地、美丽乡村、田园综合体以及行政建制镇戴上特色小镇“帽子”。各地区可结合产业空间布局优化和产城融合，循序渐进发展“市郊镇”“市中镇”“园中镇”“镇中镇”等不同类型特色小镇；依托大城市周边的重点镇培育发展卫星城，依托有特色资源的重点镇培育发展专业特色小城镇。</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四）遵循城镇化发展规律。浙江特色小镇是经济发展到一定阶段的产物，具备相应的要素和产业基础。各地区发展很不平衡，要按规律办事，树立正确政绩观和功成不必在我的理念，科学把握浙江经验的可复制和不可复制内容，合理借鉴其理念方法、精神实质和创新精神，追求慢工出细活出精品，避免脱离实际照搬照抄。特别是中西部地区要从实际出发，科学推进特色小镇和小城镇建设布局，走少而特、少而精、少而专的发展之路，避免盲目发展、过度追求数量目标和投资规模。</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五）注重打造鲜明特色。各地区在推进特色小镇和小城镇建设过程中，要立足区位条件、资源禀赋、产业积淀和地域特征，以特色产业为核心，兼顾特色文化、特色功能和特色建筑，找准特色、凸显特色、放大特色，防止内容重复、形态雷同、特色不鲜明和同质化竞争。聚焦高端产业和产业高端方向，着力发展优势主导特色产业，延伸产业链、提升价值链、创新供应链，吸引人才、技术、资金等高端要素集聚，打造特色产业集群。</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（六）有效推进“三生融合”。各地区要立足以人为本，科学规划特色小镇的生产、生活、生态空间，促进产城人文融合发展，营造宜居宜业环境，提高集聚人口能力和人民群众获得感。留存原住居民生活空</w:t>
      </w:r>
      <w:r w:rsidRPr="000C2153">
        <w:rPr>
          <w:rFonts w:ascii="微软雅黑" w:eastAsia="微软雅黑" w:hAnsi="微软雅黑" w:cs="宋体" w:hint="eastAsia"/>
          <w:color w:val="000000"/>
          <w:kern w:val="0"/>
          <w:sz w:val="27"/>
          <w:szCs w:val="27"/>
        </w:rPr>
        <w:lastRenderedPageBreak/>
        <w:t>间，防止将原住居民整体迁出。增强生活服务功能，构建便捷“生活圈”、完善“服务圈”和繁荣“商业圈”。提炼文化经典元素和标志性符号，合理应用于建设运营及公共空间。保护特色景观资源，将美丽资源转化为“美丽经济”。</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七）厘清政府与市场边界。各地区要以企业为特色小镇和小城镇建设主力军，引导企业有效投资、对标一流、扩大高端供给，激发企业家创造力和人民消费需求。鼓励大中型企业独立或牵头打造特色小镇，培育特色小镇投资运营商，避免项目简单堆砌和碎片化开发。发挥政府强化规划引导、营造制度环境、提供设施服务等作用，顺势而为、因势利导，不要过度干预。鼓励利用财政资金联合社会资本，共同发起特色小镇建设基金。</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（八）实行创建达标制度。各地区要控制特色小镇和小城镇建设数量，避免分解指标、层层加码。统一实行宽进严定、动态淘汰的创建达标制度，取消一次性命名制，避免各地区只管前期申报、不管后期发展。</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九）严防政府债务风险。各地区要注重引入央企、国企和大中型民企等作为特色小镇主要投资运营商，尽可能避免政府举债建设进而加重债务包袱。县级政府综合债务率超过100%的风险预警地区，不得通过融资平台公司变相举债立项建设。统筹考虑综合债务率、现有财力、资金筹措和还款来源，稳妥把握配套设施建设节奏。</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（十）严控房地产化倾向。各地区要综合考虑特色小镇和小城镇吸纳就业和常住人口规模，从严控制房地产开发，合理确定住宅用地比例，并结合所在市县商品住房库存消化周期确定供应时序。适度提高产业及</w:t>
      </w:r>
      <w:r w:rsidRPr="000C2153">
        <w:rPr>
          <w:rFonts w:ascii="微软雅黑" w:eastAsia="微软雅黑" w:hAnsi="微软雅黑" w:cs="宋体" w:hint="eastAsia"/>
          <w:color w:val="000000"/>
          <w:kern w:val="0"/>
          <w:sz w:val="27"/>
          <w:szCs w:val="27"/>
        </w:rPr>
        <w:lastRenderedPageBreak/>
        <w:t>商业用地比例，鼓励优先发展产业。科学论证企业创建特色小镇规划，对产业内容、盈利模式和后期运营方案进行重点把关，防范“假小镇真地产”项目。</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一）严格节约集约用地。各地区要落实最严格的耕地保护制度和最严格的节约用地制度，在符合土地利用总体规划和城乡规划的前提下，划定特色小镇和小城镇发展边界，避免另起炉灶、大拆大建。鼓励盘活存量和低效建设用地，严控新增建设用地规模，全面实行建设用地增减挂钩政策，不得占用永久基本农田。合理控制特色小镇四至范围，规划用地面积控制在3平方公里左右，其中建设用地面积控制在1平方公里左右，旅游、体育和农业类特色小镇可适当放宽。</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二）严守生态保护红线。各地区要按照《关于划定并严守生态保护红线的若干意见》要求，依据应划尽划、应保尽保原则完成生态保护红线划定工作。严禁以特色小镇和小城镇建设名义破坏生态，严格保护自然保护区、文化自然遗产、风景名胜区、森林公园和地质公园等区域，严禁挖山填湖、破坏山水田园。严把特色小镇和小城镇产业准入关，防止引入高污染高耗能产业，加强环境治理设施建设。</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三、组织实施</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（十三）提高思想认识。各地区要深刻认识特色小镇和小城镇建设的重要意义，将其作为深入推进供给侧结构性改革的重要平台，以及推进经济转型升级和新型城镇化建设的重要抓手，切实抓好组织实施。</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 xml:space="preserve">　　（十四）压实省级责任。各省级人民政府要强化主体责任意识，按照本意见要求，整合各方力量，及时规范纠偏，调整优化实施方案、创建数量和配套政策，加强统计监测。</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五）加强部门统筹。充分发挥推进新型城镇化工作部际联席会议机制的作用，由国家发展改革委牵头，会同国土资源、环境保护、住房城乡建设等有关部门，共同推进特色小镇和小城镇建设工作，加强对各地区的监督检查评估。国务院有关部门对已公布的两批403个全国特色小城镇、96个全国运动休闲特色小镇等，开展定期测评和优胜劣汰。</w:t>
      </w:r>
    </w:p>
    <w:p w:rsidR="000C2153" w:rsidRPr="000C2153" w:rsidRDefault="000C2153" w:rsidP="000C2153">
      <w:pPr>
        <w:widowControl/>
        <w:shd w:val="clear" w:color="auto" w:fill="EDEDED"/>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（十六）做好宣传引导。发挥主流媒体舆论宣传作用，持续跟踪报道建设进展，发现新短板新问题，总结好样板好案例，形成全社会关注关心的良好氛围。</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国家发展改革委</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国土资源部</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环境保护部</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住房城乡建设部</w:t>
      </w:r>
    </w:p>
    <w:p w:rsidR="000C2153" w:rsidRPr="000C2153" w:rsidRDefault="000C2153" w:rsidP="000C2153">
      <w:pPr>
        <w:widowControl/>
        <w:shd w:val="clear" w:color="auto" w:fill="EDEDED"/>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2017年12月4日</w:t>
      </w:r>
    </w:p>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Pr>
        <w:pStyle w:val="3"/>
        <w:jc w:val="center"/>
        <w:rPr>
          <w:sz w:val="30"/>
          <w:szCs w:val="30"/>
        </w:rPr>
      </w:pPr>
      <w:bookmarkStart w:id="105" w:name="_Toc12864256"/>
      <w:r w:rsidRPr="000C2153">
        <w:rPr>
          <w:rFonts w:hint="eastAsia"/>
          <w:sz w:val="30"/>
          <w:szCs w:val="30"/>
        </w:rPr>
        <w:lastRenderedPageBreak/>
        <w:t>中共中央办公厅</w:t>
      </w:r>
      <w:r w:rsidRPr="000C2153">
        <w:rPr>
          <w:rFonts w:hint="eastAsia"/>
          <w:sz w:val="30"/>
          <w:szCs w:val="30"/>
        </w:rPr>
        <w:t xml:space="preserve"> </w:t>
      </w:r>
      <w:r w:rsidRPr="000C2153">
        <w:rPr>
          <w:rFonts w:hint="eastAsia"/>
          <w:sz w:val="30"/>
          <w:szCs w:val="30"/>
        </w:rPr>
        <w:t>国务院办公厅印发《建立国家公园体制总体方案》（</w:t>
      </w:r>
      <w:r w:rsidRPr="000C2153">
        <w:rPr>
          <w:rFonts w:hint="eastAsia"/>
          <w:sz w:val="30"/>
          <w:szCs w:val="30"/>
        </w:rPr>
        <w:t>2017</w:t>
      </w:r>
      <w:r w:rsidRPr="000C2153">
        <w:rPr>
          <w:rFonts w:hint="eastAsia"/>
          <w:sz w:val="30"/>
          <w:szCs w:val="30"/>
        </w:rPr>
        <w:t>年</w:t>
      </w:r>
      <w:r w:rsidRPr="000C2153">
        <w:rPr>
          <w:rFonts w:hint="eastAsia"/>
          <w:sz w:val="30"/>
          <w:szCs w:val="30"/>
        </w:rPr>
        <w:t>9</w:t>
      </w:r>
      <w:r w:rsidRPr="000C2153">
        <w:rPr>
          <w:rFonts w:hint="eastAsia"/>
          <w:sz w:val="30"/>
          <w:szCs w:val="30"/>
        </w:rPr>
        <w:t>月）</w:t>
      </w:r>
      <w:bookmarkEnd w:id="105"/>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家公园是指由国家批准设立并主导管理，边界清晰，以保护具有国家代表性的大面积自然生态系统为主要目的，实现自然资源科学保护和合理利用的特定陆地或海洋区域。建立国家公园体制是党的十八届三中全会提出的重点改革任务，是我国生态文明制度建设的重要内容，对于推进自然资源科学保护和合理利用，促进人与自然和谐共生，推进美丽中国建设，具有极其重要的意义。为加快构建国家公园体制，在总结试点经验基础上，借鉴国际有益做法，立足我国国情，制定本方案。</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一、总体要求</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指导思想。全面贯彻党的十八大和十八届三中、四中、五中、六中全会精神，深入贯彻习近平总书记系列重要讲话精神和治国理政新理念新思想新战略，认真落实党中央、国务院决策部署，紧紧围绕统筹推进“五位一体”总体布局和协调推进“四个全面”战略布局，牢固树立和贯彻落实新发展理念，坚持以人民为中心的发展思想，加快推进生态文明建设和生态文明体制改革，坚定不移实施主体功能区战略和制度，严守生态保护红线，以加强自然生态系统原真性、完整性保护为基础，以实现国家所有、全民共享、世代传承为目标，理顺管理体制，创新运营机制，健全法治保障，强化监督管理，构建统一规范高效的中国特色国家公园体制，建立分类科学、保护有力的自然保护地体系。</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（二）基本原则</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科学定位、整体保护。坚持将山水林田湖草作为一个生命共同体，统筹考虑保护与利用，对相关自然保护地进行功能重组，合理确定国家公园的范围。按照自然生态系统整体性、系统性及其内在规律，对国家公园实行整体保护、系统修复、综合治理。</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合理布局、稳步推进。立足我国生态保护现实需求和发展阶段，科学确定国家公园空间布局。将创新体制和完善机制放在优先位置，做好体制机制改革过程中的衔接，成熟一个设立一个，有步骤、分阶段推进国家公园建设。</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家主导、共同参与。国家公园由国家确立并主导管理。建立健全政府、企业、社会组织和公众共同参与国家公园保护管理的长效机制，探索社会力量参与自然资源管理和生态保护的新模式。加大财政支持力度，广泛引导社会资金多渠道投入。</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主要目标。建成统一规范高效的中国特色国家公园体制，交叉重叠、多头管理的碎片化问题得到有效解决，国家重要自然生态系统原真性、完整性得到有效保护，形成自然生态系统保护的新体制新模式，促进生态环境治理体系和治理能力现代化，保障国家生态安全，实现人与自然和谐共生。</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到2020年，建立国家公园体制试点基本完成，整合设立一批国家公园，分级统一的管理体制基本建立，国家公园总体布局初步形成。到2030年，国家公园体制更加健全，分级统一的管理体制更加完善，保护管理效能明显提高。</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二、科学界定国家公园内涵</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四）树立正确国家公园理念。坚持生态保护第一。建立国家公园的目的是保护自然生态系统的原真性、完整性，始终突出自然生态系统的严格保护、整体保护、系统保护，把最应该保护的地方保护起来。国家公园坚持世代传承，给子孙后代留下珍贵的自然遗产。坚持国家代表性。国家公园既具有极其重要的自然生态系统，又拥有独特的自然景观和丰富的科学内涵，国民认同度高。国家公园以国家利益为主导，坚持国家所有，具有国家象征，代表国家形象，彰显中华文明。坚持全民公益性。国家公园坚持全民共享，着眼于提升生态系统服务功能，开展自然环境教育，为公众提供亲近自然、体验自然、了解自然以及作为国民福利的游憩机会。鼓励公众参与，调动全民积极性，激发自然保护意识，增强民族自豪感。</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五）明确国家公园定位。国家公园是我国自然保护地最重要类型之一，属于全国主体功能区规划中的禁止开发区域，纳入全国生态保护红线区域管控范围，实行最严格的保护。国家公园的首要功能是重要自然生态系统的原真性、完整性保护，同时兼具科研、教育、游憩等综合功能。</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六）确定国家公园空间布局。制定国家公园设立标准，根据自然生态系统代表性、面积适宜性和管理可行性，明确国家公园准入条件，确保自然生态系统和自然遗产具有国家代表性、典型性，确保面积可以维持生态系统结构、过程、功能的完整性，确保全民所有的自然资源资</w:t>
      </w:r>
      <w:r w:rsidRPr="000C2153">
        <w:rPr>
          <w:rFonts w:ascii="微软雅黑" w:eastAsia="微软雅黑" w:hAnsi="微软雅黑" w:cs="宋体" w:hint="eastAsia"/>
          <w:color w:val="000000"/>
          <w:kern w:val="0"/>
          <w:sz w:val="27"/>
          <w:szCs w:val="27"/>
        </w:rPr>
        <w:lastRenderedPageBreak/>
        <w:t>产占主体地位，管理上具有可行性。研究提出国家公园空间布局，明确国家公园建设数量、规模。统筹考虑自然生态系统的完整性和周边经济社会发展的需要，合理划定单个国家公园范围。国家公园建立后，在相关区域内一律不再保留或设立其他自然保护地类型。</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七）优化完善自然保护地体系。改革分头设置自然保护区、风景名胜区、文化自然遗产、地质公园、森林公园等的体制，对我国现行自然保护地保护管理效能进行评估，逐步改革按照资源类型分类设置自然保护地体系，研究科学的分类标准，理清各类自然保护地关系，构建以国家公园为代表的自然保护地体系。进一步研究自然保护区、风景名胜区等自然保护地功能定位。</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三、建立统一事权、分级管理体制</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（八）建立统一管理机构。整合相关自然保护地管理职能，结合生态环境保护管理体制、自然资源资产管理体制、自然资源监管体制改革，由一个部门统一行使国家公园自然保护地管理职责。</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家公园设立后整合组建统一的管理机构，履行国家公园范围内的生态保护、自然资源资产管理、特许经营管理、社会参与管理、宣传推介等职责，负责协调与当地政府及周边社区关系。可根据实际需要，授权国家公园管理机构履行国家公园范围内必要的资源环境综合执法职责。</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（九）分级行使所有权。统筹考虑生态系统功能重要程度、生态系统效应外溢性、是否跨省级行政区和管理效率等因素，国家公园内全民</w:t>
      </w:r>
      <w:r w:rsidRPr="000C2153">
        <w:rPr>
          <w:rFonts w:ascii="微软雅黑" w:eastAsia="微软雅黑" w:hAnsi="微软雅黑" w:cs="宋体" w:hint="eastAsia"/>
          <w:color w:val="000000"/>
          <w:kern w:val="0"/>
          <w:sz w:val="27"/>
          <w:szCs w:val="27"/>
        </w:rPr>
        <w:lastRenderedPageBreak/>
        <w:t>所有自然资源资产所有权由中央政府和省级政府分级行使。其中，部分国家公园的全民所有自然资源资产所有权由中央政府直接行使，其他的委托省级政府代理行使。条件成熟时，逐步过渡到国家公园内全民所有自然资源资产所有权由中央政府直接行使。</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按照自然资源统一确权登记办法，国家公园可作为独立自然资源登记单元，依法对区域内水流、森林、山岭、草原、荒地、滩涂等所有自然生态空间统一进行确权登记。划清全民所有和集体所有之间的边界，划清不同集体所有者的边界，实现归属清晰、权责明确。</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构建协同管理机制。合理划分中央和地方事权，构建主体明确、责任清晰、相互配合的国家公园中央和地方协同管理机制。中央政府直接行使全民所有自然资源资产所有权的，地方政府根据需要配合国家公园管理机构做好生态保护工作。省级政府代理行使全民所有自然资源资产所有权的，中央政府要履行应有事权，加大指导和支持力度。国家公园所在地方政府行使辖区（包括国家公园）经济社会发展综合协调、公共服务、社会管理、市场监管等职责。</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一）建立健全监管机制。相关部门依法对国家公园进行指导和管理。健全国家公园监管制度，加强国家公园空间用途管制，强化对国家公园生态保护等工作情况的监管。完善监测指标体系和技术体系，定期对国家公园开展监测。构建国家公园自然资源基础数据库及统计分析平台。加强对国家公园生态系统状况、环境质量变化、生态文明制度执行情况等方面的评价，建立第三方评估制度，对国家公园建设和管理进</w:t>
      </w:r>
      <w:r w:rsidRPr="000C2153">
        <w:rPr>
          <w:rFonts w:ascii="微软雅黑" w:eastAsia="微软雅黑" w:hAnsi="微软雅黑" w:cs="宋体" w:hint="eastAsia"/>
          <w:color w:val="000000"/>
          <w:kern w:val="0"/>
          <w:sz w:val="27"/>
          <w:szCs w:val="27"/>
        </w:rPr>
        <w:lastRenderedPageBreak/>
        <w:t>行科学评估。建立健全社会监督机制，建立举报制度和权益保障机制，保障社会公众的知情权、监督权，接受各种形式的监督。</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四、建立资金保障制度</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二）建立财政投入为主的多元化资金保障机制。立足国家公园的公益属性，确定中央与地方事权划分，保障国家公园的保护、运行和管理。中央政府直接行使全民所有自然资源资产所有权的国家公园支出由中央政府出资保障。委托省级政府代理行使全民所有自然资源资产所有权的国家公园支出由中央和省级政府根据事权划分分别出资保障。加大政府投入力度，推动国家公园回归公益属性。在确保国家公园生态保护和公益属性的前提下，探索多渠道多元化的投融资模式。</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三）构建高效的资金使用管理机制。国家公园实行收支两条线管理，各项收入上缴财政，各项支出由财政统筹安排，并负责统一接受企业、非政府组织、个人等社会捐赠资金，进行有效管理。建立财务公开制度，确保国家公园各类资金使用公开透明。</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五、完善自然生态系统保护制度</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四）健全严格保护管理制度。加强自然生态系统原真性、完整性保护，做好自然资源本底情况调查和生态系统监测，统筹制定各类资源的保护管理目标，着力维持生态服务功能，提高生态产品供给能力。生态系统修复坚持以自然恢复为主，生物措施和其他措施相结合。严格规划建设管控，除不损害生态系统的原住民生产生活设施改造和自然观光、科研、教育、旅游外，禁止其他开发建设活动。国家公园区域内不</w:t>
      </w:r>
      <w:r w:rsidRPr="000C2153">
        <w:rPr>
          <w:rFonts w:ascii="微软雅黑" w:eastAsia="微软雅黑" w:hAnsi="微软雅黑" w:cs="宋体" w:hint="eastAsia"/>
          <w:color w:val="000000"/>
          <w:kern w:val="0"/>
          <w:sz w:val="27"/>
          <w:szCs w:val="27"/>
        </w:rPr>
        <w:lastRenderedPageBreak/>
        <w:t>符合保护和规划要求的各类设施、工矿企业等逐步搬离，建立已设矿业权逐步退出机制。</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五）实施差别化保护管理方式。编制国家公园总体规划及专项规划，合理确定国家公园空间布局，明确发展目标和任务，做好与相关规划的衔接。按照自然资源特征和管理目标，合理划定功能分区，实行差别化保护管理。重点保护区域内居民要逐步实施生态移民搬迁，集体土地在充分征求其所有权人、承包权人意见基础上，优先通过租赁、置换等方式规范流转，由国家公园管理机构统一管理。其他区域内居民根据实际情况，实施生态移民搬迁或实行相对集中居住，集体土地可通过合作协议等方式实现统一有效管理。探索协议保护等多元化保护模式。</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六）完善责任追究制度。强化国家公园管理机构的自然生态系统保护主体责任，明确当地政府和相关部门的相应责任。严厉打击违法违规开发矿产资源或其他项目、偷排偷放污染物、偷捕盗猎野生动物等各类环境违法犯罪行为。严格落实考核问责制度，建立国家公园管理机构自然生态系统保护成效考核评估制度，全面实行环境保护“党政同责、一岗双责”，对领导干部实行自然资源资产离任审计和生态环境损害责任追究制。对违背国家公园保护管理要求、造成生态系统和资源环境严重破坏的要记录在案，依法依规严肃问责、终身追责。</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六、构建社区协调发展制度</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（十七）建立社区共管机制。根据国家公园功能定位，明确国家公园区域内居民的生产生活边界，相关配套设施建设要符合国家公园总体</w:t>
      </w:r>
      <w:r w:rsidRPr="000C2153">
        <w:rPr>
          <w:rFonts w:ascii="微软雅黑" w:eastAsia="微软雅黑" w:hAnsi="微软雅黑" w:cs="宋体" w:hint="eastAsia"/>
          <w:color w:val="000000"/>
          <w:kern w:val="0"/>
          <w:sz w:val="27"/>
          <w:szCs w:val="27"/>
        </w:rPr>
        <w:lastRenderedPageBreak/>
        <w:t>规划和管理要求，并征得国家公园管理机构同意。周边社区建设要与国家公园整体保护目标相协调，鼓励通过签订合作保护协议等方式，共同保护国家公园周边自然资源。引导当地政府在国家公园周边合理规划建设入口社区和特色小镇。</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八）健全生态保护补偿制度。建立健全森林、草原、湿地、荒漠、海洋、水流、耕地等领域生态保护补偿机制，加大重点生态功能区转移支付力度，健全国家公园生态保护补偿政策。鼓励受益地区与国家公园所在地区通过资金补偿等方式建立横向补偿关系。加强生态保护补偿效益评估，完善生态保护成效与资金分配挂钩的激励约束机制，加强对生态保护补偿资金使用的监督管理。鼓励设立生态管护公益岗位，吸收当地居民参与国家公园保护管理和自然环境教育等。</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九）完善社会参与机制。在国家公园设立、建设、运行、管理、监督等各环节，以及生态保护、自然教育、科学研究等各领域，引导当地居民、专家学者、企业、社会组织等积极参与。鼓励当地居民或其举办的企业参与国家公园内特许经营项目。建立健全志愿服务机制和社会监督机制。依托高等学校和企事业单位等建立一批国家公园人才教育培训基地。</w:t>
      </w:r>
    </w:p>
    <w:p w:rsidR="000C2153" w:rsidRPr="000C2153" w:rsidRDefault="000C2153" w:rsidP="000C2153">
      <w:pPr>
        <w:widowControl/>
        <w:shd w:val="clear" w:color="auto" w:fill="FFFFFF"/>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七、实施保障</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（二十）加强组织领导。中央全面深化改革领导小组经济体制和生态文明体制改革专项小组要加强指导，各地区各有关部门要认真学习领会党中央、国务院关于生态文明体制改革的精神，深刻认识建立国家公</w:t>
      </w:r>
      <w:r w:rsidRPr="000C2153">
        <w:rPr>
          <w:rFonts w:ascii="微软雅黑" w:eastAsia="微软雅黑" w:hAnsi="微软雅黑" w:cs="宋体" w:hint="eastAsia"/>
          <w:color w:val="000000"/>
          <w:kern w:val="0"/>
          <w:sz w:val="27"/>
          <w:szCs w:val="27"/>
        </w:rPr>
        <w:lastRenderedPageBreak/>
        <w:t>园体制的重要意义，把思想认识和行动统一到党中央、国务院重要决策部署上来，切实加强组织领导，明确责任主体，细化任务分工，密切协调配合，形成改革合力。</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十一）完善法律法规。在明确国家公园与其他类型自然保护地关系的基础上，研究制定有关国家公园的法律法规，明确国家公园功能定位、保护目标、管理原则，确定国家公园管理主体，合理划定中央与地方职责，研究制定国家公园特许经营等配套法规，做好现行法律法规的衔接修订工作。制定国家公园总体规划、功能分区、基础设施建设、社区协调、生态保护补偿、访客管理等相关标准规范和自然资源调查评估、巡护管理、生物多样性监测等技术规程。</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十二）加强舆论引导。正确解读建立国家公园体制的内涵和改革方向，合理引导社会预期，及时回应社会关切，推动形成社会共识。准确把握建立国家公园体制的核心要义，进一步突出体制机制创新。加大宣传力度，提升宣传效果。培养国家公园文化，传播国家公园理念，彰显国家公园价值。</w:t>
      </w:r>
    </w:p>
    <w:p w:rsidR="000C2153" w:rsidRPr="000C2153" w:rsidRDefault="000C2153" w:rsidP="000C2153">
      <w:pPr>
        <w:widowControl/>
        <w:shd w:val="clear" w:color="auto" w:fill="FFFFFF"/>
        <w:spacing w:before="225"/>
        <w:ind w:firstLine="480"/>
        <w:jc w:val="lef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十三）强化督促落实。综合考虑试点推进情况，适当延长建立国家公园体制试点时间。本方案出台后，试点省市要按照本方案和已经批复的试点方案要求，继续探索创新，扎实抓好试点任务落实工作，认真梳理总结有效模式，提炼成功经验。国家公园设立标准和相关程序明确后，由国家公园主管部门组织对试点情况进行评估，研究正式设立国家公园，按程序报批。各地区各部门不得自行设立或批复设立国家公园。</w:t>
      </w:r>
      <w:r w:rsidRPr="000C2153">
        <w:rPr>
          <w:rFonts w:ascii="微软雅黑" w:eastAsia="微软雅黑" w:hAnsi="微软雅黑" w:cs="宋体" w:hint="eastAsia"/>
          <w:color w:val="000000"/>
          <w:kern w:val="0"/>
          <w:sz w:val="27"/>
          <w:szCs w:val="27"/>
        </w:rPr>
        <w:lastRenderedPageBreak/>
        <w:t>适时对自行设立的各类国家公园进行清理。各有关部门要对本方案落实情况进行跟踪分析和督促检查，及时解决实施中遇到的问题，重大问题要及时向党中央、国务院请示报告。</w:t>
      </w:r>
    </w:p>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Pr>
        <w:pStyle w:val="3"/>
        <w:jc w:val="center"/>
        <w:rPr>
          <w:sz w:val="30"/>
          <w:szCs w:val="30"/>
        </w:rPr>
      </w:pPr>
      <w:bookmarkStart w:id="106" w:name="_Toc12864257"/>
      <w:r w:rsidRPr="000C2153">
        <w:rPr>
          <w:rFonts w:hint="eastAsia"/>
          <w:sz w:val="30"/>
          <w:szCs w:val="30"/>
        </w:rPr>
        <w:lastRenderedPageBreak/>
        <w:t>住房和城乡建设部关于保持和彰显特色小镇特色若干问题的通知（建村〔</w:t>
      </w:r>
      <w:r w:rsidRPr="000C2153">
        <w:rPr>
          <w:rFonts w:hint="eastAsia"/>
          <w:sz w:val="30"/>
          <w:szCs w:val="30"/>
        </w:rPr>
        <w:t>2017</w:t>
      </w:r>
      <w:r w:rsidRPr="000C2153">
        <w:rPr>
          <w:rFonts w:hint="eastAsia"/>
          <w:sz w:val="30"/>
          <w:szCs w:val="30"/>
        </w:rPr>
        <w:t>〕</w:t>
      </w:r>
      <w:r w:rsidRPr="000C2153">
        <w:rPr>
          <w:rFonts w:hint="eastAsia"/>
          <w:sz w:val="30"/>
          <w:szCs w:val="30"/>
        </w:rPr>
        <w:t>144</w:t>
      </w:r>
      <w:r w:rsidRPr="000C2153">
        <w:rPr>
          <w:rFonts w:hint="eastAsia"/>
          <w:sz w:val="30"/>
          <w:szCs w:val="30"/>
        </w:rPr>
        <w:t>号）</w:t>
      </w:r>
      <w:bookmarkEnd w:id="106"/>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各省、自治区住房城乡建设厅，北京市住房城乡建设委、规划国土委、农委，天津市建委、规划局，上海市住房城乡建设管委、规划国土局，重庆市城乡建设委:</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党中央、国务院作出了关于推进特色小镇建设的部署，对推进新发展理念、全面建成小康社会和促进国家可持续发展具有十分重要的战略意义。保持和彰显小镇特色是落实新发展理念，加快推进绿色发展和生态文明建设的重要内容。目前，特色小镇培育尚处于起步阶段，部分地方存在不注重特色的问题。各地要坚持按照绿色发展的要求，有序推进特色小镇的规划建设发展。现就有关事项通知如下。</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一、尊重小镇现有格局、不盲目拆老街区</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（一）顺应地形地貌。小镇规划要与地形地貌有机结合，融入山水林田湖等自然要素，彰显优美的山水格局和高低错落的天际线。严禁挖山填湖、破坏水系、破坏生态环境。</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二）保持现状肌理。尊重小镇现有路网、空间格局和生产生活方式，在此基础上，下细致功夫解决老街区功能不完善、环境脏乱差等风貌特色缺乏问题。严禁盲目拉直道路，严禁对老街区进行大拆大建或简单粗暴地推倒重建，避免采取将现有居民整体迁出的开发模式。</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lastRenderedPageBreak/>
        <w:t>（三）延续传统风貌。统筹小镇建筑布局、协调景观风貌、体现地域特征、民族特色和时代风貌。新建区域应延续老街区的肌理和文脉特征，形成有机的整体。新建建筑的风格、色彩、材质等应传承传统风貌，雕塑、小品等构筑物应体现优秀传统文化。严禁建设“大、洋、怪”的建筑。</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二、保持小镇宜居尺度、不盲目盖高楼</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（一）建设小尺度开放式街坊住区。应以开放式街坊住区为主，尺度宜为100—150米，延续小镇居民原有的邻里关系，避免照搬城市居住小区模式。</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二）营造宜人街巷空间。保持和修复传统街区的街巷空间，新建生活型道路的高宽比宜为1:1至2:1，绿地以建设贴近生活、贴近工作的街头绿地为主，充分营造小镇居民易于交往的空间。严禁建设不便民、造价高、图形象的宽马路、大广场、大公园。</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（三）适宜的建筑高度和体量。新建住宅应为低层、多层，建筑高度一般不宜超过20米，单体建筑面宽不宜超过40米，避免建设与整体环境不协调的高层或大体量建筑。</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三、传承小镇传统文化、不盲目搬袭外来文化</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lastRenderedPageBreak/>
        <w:t>（一）保护历史文化遗产。保护小镇传统格局、历史风貌，保护不可移动文物，及时修缮历史建筑。不要拆除老房子、砍伐老树以及破坏具有历史印记的地物。</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（二）活化非物质文化遗产。充分挖掘利用非物质文化遗产价值，建设一批生产、传承和展示场所，培养一批文化传承人和工匠，避免将非物质文化遗产低俗化、过度商业化。</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（三）体现文化与内涵。保护与传承本地优秀传统文化，培育独特文化标识和小镇精神，增加文化自信，避免盲目崇洋媚外，严禁乱起洋名。</w:t>
      </w:r>
    </w:p>
    <w:p w:rsidR="000C2153" w:rsidRPr="000C2153" w:rsidRDefault="000C2153" w:rsidP="000C2153">
      <w:pPr>
        <w:widowControl/>
        <w:spacing w:before="375" w:after="375" w:line="486" w:lineRule="atLeast"/>
        <w:ind w:firstLine="480"/>
        <w:jc w:val="lef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各地要按照本通知要求，加强特色小镇规划建设的指导和检查。我部已将是否保持和体现特色作为特色小镇重要认定标准，将定期对已认定特色小镇有关情况进行检查。</w:t>
      </w:r>
    </w:p>
    <w:p w:rsidR="000C2153" w:rsidRPr="000C2153" w:rsidRDefault="000C2153" w:rsidP="000C2153">
      <w:pPr>
        <w:widowControl/>
        <w:spacing w:before="375" w:after="375" w:line="486" w:lineRule="atLeast"/>
        <w:ind w:firstLine="480"/>
        <w:jc w:val="righ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住房城乡建设部</w:t>
      </w:r>
    </w:p>
    <w:p w:rsidR="000C2153" w:rsidRPr="000C2153" w:rsidRDefault="000C2153" w:rsidP="000C2153">
      <w:pPr>
        <w:widowControl/>
        <w:spacing w:before="375" w:after="375" w:line="486" w:lineRule="atLeast"/>
        <w:ind w:firstLine="480"/>
        <w:jc w:val="right"/>
        <w:rPr>
          <w:rFonts w:ascii="微软雅黑" w:eastAsia="微软雅黑" w:hAnsi="微软雅黑" w:cs="宋体"/>
          <w:color w:val="222222"/>
          <w:kern w:val="0"/>
          <w:sz w:val="27"/>
          <w:szCs w:val="27"/>
        </w:rPr>
      </w:pPr>
      <w:r w:rsidRPr="000C2153">
        <w:rPr>
          <w:rFonts w:ascii="微软雅黑" w:eastAsia="微软雅黑" w:hAnsi="微软雅黑" w:cs="宋体" w:hint="eastAsia"/>
          <w:color w:val="222222"/>
          <w:kern w:val="0"/>
          <w:sz w:val="27"/>
          <w:szCs w:val="27"/>
        </w:rPr>
        <w:t>2017年7月7日</w:t>
      </w:r>
    </w:p>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Pr>
        <w:pStyle w:val="3"/>
        <w:jc w:val="center"/>
        <w:rPr>
          <w:sz w:val="30"/>
          <w:szCs w:val="30"/>
        </w:rPr>
      </w:pPr>
      <w:bookmarkStart w:id="107" w:name="_Toc12864258"/>
      <w:r w:rsidRPr="000C2153">
        <w:rPr>
          <w:rFonts w:hint="eastAsia"/>
          <w:sz w:val="30"/>
          <w:szCs w:val="30"/>
        </w:rPr>
        <w:lastRenderedPageBreak/>
        <w:t>关于开展田园综合体建设试点工作的通知（财办〔</w:t>
      </w:r>
      <w:r w:rsidRPr="000C2153">
        <w:rPr>
          <w:rFonts w:hint="eastAsia"/>
          <w:sz w:val="30"/>
          <w:szCs w:val="30"/>
        </w:rPr>
        <w:t>2017</w:t>
      </w:r>
      <w:r w:rsidRPr="000C2153">
        <w:rPr>
          <w:rFonts w:hint="eastAsia"/>
          <w:sz w:val="30"/>
          <w:szCs w:val="30"/>
        </w:rPr>
        <w:t>〕</w:t>
      </w:r>
      <w:r w:rsidRPr="000C2153">
        <w:rPr>
          <w:rFonts w:hint="eastAsia"/>
          <w:sz w:val="30"/>
          <w:szCs w:val="30"/>
        </w:rPr>
        <w:t>29</w:t>
      </w:r>
      <w:r w:rsidRPr="000C2153">
        <w:rPr>
          <w:rFonts w:hint="eastAsia"/>
          <w:sz w:val="30"/>
          <w:szCs w:val="30"/>
        </w:rPr>
        <w:t>号）</w:t>
      </w:r>
      <w:bookmarkEnd w:id="107"/>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各省、自治区、直辖市、计划单列市财政厅（局），新疆生产建设兵团财务局：</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为贯彻落实中央农村工作会议和《中共中央 国务院关于深入推进农业供给侧结构性改革 加快培育农业农村发展新动能的若干意见》的部署与要求，推动农业现代化与城乡一体化互促共进，加快培育农业农村发展新动能，提高农业综合效益和竞争力，探索农业农村发展新模式，实现“村庄美、产业兴、农民富、环境优”的目标，财政部决定开展田园综合体建设试点工作。现就有关事项通知如下。</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一、总体要求</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（一）指导思想</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认真贯彻党中央、国务院决策部署，深入推进农业供给侧结构性改革，适应农村发展阶段性需要，遵循农村发展规律和市场经济规律，围绕农业增效、农民增收、农村增绿，支持有条件的乡村加强基础设施、产业支撑、公共服务、环境风貌建设，实现农村生产生活生态“三生同步”、一二三产业“三产融合”、农业文化旅游“三位一体”，积极探索推进农村经济社会全面发展的新模式、新业态、新路径，逐步建成以农民合作社为主要载体，让农民充分参与和受益，集循环农业、创意农业、农事体验于一体的田园综合体。</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lastRenderedPageBreak/>
        <w:t>（二）基本原则</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——坚持以农为本。要以保护耕地为前提，提升农业综合生产能力，突出农业特色，发展</w:t>
      </w:r>
      <w:hyperlink r:id="rId97" w:tgtFrame="_blank" w:history="1">
        <w:r w:rsidRPr="000C2153">
          <w:rPr>
            <w:rFonts w:hint="eastAsia"/>
            <w:color w:val="000000"/>
            <w:sz w:val="27"/>
            <w:szCs w:val="27"/>
          </w:rPr>
          <w:t>现代农业</w:t>
        </w:r>
      </w:hyperlink>
      <w:r w:rsidRPr="000C2153">
        <w:rPr>
          <w:rFonts w:ascii="微软雅黑" w:eastAsia="微软雅黑" w:hAnsi="微软雅黑" w:hint="eastAsia"/>
          <w:color w:val="000000"/>
          <w:sz w:val="27"/>
          <w:szCs w:val="27"/>
        </w:rPr>
        <w:t>，促进产业融合，提高农业综合效益和现代化水平；要保持农村田园风光，留住乡愁，保护好青山绿水，实现生态可持续;要确保农民参与和受益，着力构建企业、合作社和农民利益联结机制，带动农民持续稳定增收，让农民充分分享田园综合体发展成果。</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坚持共同发展。要充分发挥农村集体组织在乡村建设治理中的主体作用，通过农村集体组织、农民合作社等渠道让农民参与田园综合体建设进程，提高区域内公共服务的质量和水平，逐步实现农村社区化管理；要把探索发展集体经济作为产业发展的重要途径，积极盘活农村集体资产，发展多种形式的股份合作，增强和壮大集体经济发展活力和实力，真正让农民分享集体经济发展和农村改革成果。</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坚持市场主导。按照政府引导、企业参与、市场化运作的要求，创新建设模式、管理方式和服务手段，全面激活市场、激活要素、激活主体，调动多元化主体共同推动田园综合体建设的积极性。政府重点做好顶层设计、提供公共服务等工作，防止大包大揽。政府投入要围绕改善农民生产生活条件，提高产业发展能力，重点补齐基础设施、公共服务、生态环境短板，提高区域内居民特别是农民的获得感和幸福感。</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——坚持循序渐进。要依托现有农村资源，特别是要统筹运用好农业综合开发、美丽乡村等建设成果，从各地实际出发，遵循客观规律，</w:t>
      </w:r>
      <w:r w:rsidRPr="000C2153">
        <w:rPr>
          <w:rFonts w:ascii="微软雅黑" w:eastAsia="微软雅黑" w:hAnsi="微软雅黑" w:hint="eastAsia"/>
          <w:color w:val="000000"/>
          <w:sz w:val="27"/>
          <w:szCs w:val="27"/>
        </w:rPr>
        <w:lastRenderedPageBreak/>
        <w:t>循序渐进，挖掘特色优势，体现区域差异性，提倡形态多元性，建设模式多样性；要创新发展理念，优化功能定位，探索一条特色鲜明、宜居宜业、惠及各方的田园综合体建设和发展之路，实现可持续、可复制、可推广。</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二、重点建设内容</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围绕田园综合体的建设目标和功能定位，重点抓好生产体系、产业体系、经营体系、生态体系、服务体系、运行体系等六大支撑体系建设。</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（一）夯实基础，完善生产体系发展条件。要按照适度超前、综合配套、集约利用的原则，集中连片开展高标准</w:t>
      </w:r>
      <w:hyperlink r:id="rId98" w:tgtFrame="_blank" w:history="1">
        <w:r w:rsidRPr="000C2153">
          <w:rPr>
            <w:rFonts w:hint="eastAsia"/>
            <w:color w:val="000000"/>
            <w:sz w:val="27"/>
            <w:szCs w:val="27"/>
          </w:rPr>
          <w:t>农田建设</w:t>
        </w:r>
      </w:hyperlink>
      <w:r w:rsidRPr="000C2153">
        <w:rPr>
          <w:rFonts w:ascii="微软雅黑" w:eastAsia="微软雅黑" w:hAnsi="微软雅黑" w:hint="eastAsia"/>
          <w:color w:val="000000"/>
          <w:sz w:val="27"/>
          <w:szCs w:val="27"/>
        </w:rPr>
        <w:t>，加强田园综合体区域内“田园+农村”基础设施建设，整合资金完善供电、通信、污水垃圾处理、游客集散、公共服务等配套设施条件。</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二）突出特色，打造涉农产业体系发展平台。立足资源禀赋、区位环境、历史文化、产业集聚等比较优势，围绕田园资源和农业特色，做大做强传统特色优势主导产业，推动土地规模化利用和三产融合发展，大力打造农业产业集群；稳步发展创意农业，利用“旅游＋”、“生态＋”等模式，开发农业多功能性，推进农业产业与旅游、教育、文化、康养等产业深度融合；强化品牌和原产地地理标志管理，推进</w:t>
      </w:r>
      <w:hyperlink r:id="rId99" w:tgtFrame="_blank" w:history="1">
        <w:r w:rsidRPr="000C2153">
          <w:rPr>
            <w:rFonts w:hint="eastAsia"/>
            <w:color w:val="000000"/>
            <w:sz w:val="27"/>
            <w:szCs w:val="27"/>
          </w:rPr>
          <w:t>农村电商</w:t>
        </w:r>
      </w:hyperlink>
      <w:r w:rsidRPr="000C2153">
        <w:rPr>
          <w:rFonts w:ascii="微软雅黑" w:eastAsia="微软雅黑" w:hAnsi="微软雅黑" w:hint="eastAsia"/>
          <w:color w:val="000000"/>
          <w:sz w:val="27"/>
          <w:szCs w:val="27"/>
        </w:rPr>
        <w:t>、物流服务业发展，培育形成1—2个区域农业知名品牌，构建支撑田园综合体发展的产业体系。</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lastRenderedPageBreak/>
        <w:t>（三）</w:t>
      </w:r>
      <w:hyperlink r:id="rId100" w:tgtFrame="_blank" w:history="1">
        <w:r w:rsidRPr="000C2153">
          <w:rPr>
            <w:rFonts w:hint="eastAsia"/>
            <w:color w:val="000000"/>
            <w:sz w:val="27"/>
            <w:szCs w:val="27"/>
          </w:rPr>
          <w:t>创业</w:t>
        </w:r>
      </w:hyperlink>
      <w:r w:rsidRPr="000C2153">
        <w:rPr>
          <w:rFonts w:ascii="微软雅黑" w:eastAsia="微软雅黑" w:hAnsi="微软雅黑" w:hint="eastAsia"/>
          <w:color w:val="000000"/>
          <w:sz w:val="27"/>
          <w:szCs w:val="27"/>
        </w:rPr>
        <w:t>创新，培育农业经营体系发展新动能。积极壮大新型农业经营主体实力，完善农业社会化服务体系，通过</w:t>
      </w:r>
      <w:hyperlink r:id="rId101" w:tgtFrame="_blank" w:history="1">
        <w:r w:rsidRPr="000C2153">
          <w:rPr>
            <w:rFonts w:hint="eastAsia"/>
            <w:color w:val="000000"/>
            <w:sz w:val="27"/>
            <w:szCs w:val="27"/>
          </w:rPr>
          <w:t>土地流转</w:t>
        </w:r>
      </w:hyperlink>
      <w:r w:rsidRPr="000C2153">
        <w:rPr>
          <w:rFonts w:ascii="微软雅黑" w:eastAsia="微软雅黑" w:hAnsi="微软雅黑" w:hint="eastAsia"/>
          <w:color w:val="000000"/>
          <w:sz w:val="27"/>
          <w:szCs w:val="27"/>
        </w:rPr>
        <w:t>、股份合作、代耕代种、土地托管等方式促进农业适度规模经营，优化农业生产经营体系，增加农业效益。同时，强化服务和利益联结，逐步将小农户生产、生活引入现代农业农村发展轨道，带动区域内农民可支配收入持续稳定增长。</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四）绿色发展，构建乡村生态体系屏障。牢固树立绿水青山就是金山银山的理念，优化田园景观资源配置，深度挖掘农业生态价值，统筹农业景观功能和体验功能，凸显宜居宜业新特色。积极发展循环农业，充分利用农业生态环保生产新技术，促进农业资源的节约化、农业生产残余废弃物的减量化和资源化再利用，实施农业节水工程，加强农业环境综合整治，促进农业可持续发展。</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五）完善功能，补齐公共服务体系建设短板。要完善区域内的生产性服务体系，通过发展适应市场需求的产业和公共服务平台，聚集市场、资本、信息、人才等现代生产要素，推动城乡产业链双向延伸对接，推动农村新产业、新业态蓬勃发展。完善综合体社区公共服务设施和功能，为社区居民提供便捷高效服务。</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（六）形成合力，健全优化运行体系建设。妥善处理好政府、企业和农民三者关系,确定合理的建设运营管理模式，形成健康发展的合力。政府重点负责政策引导和规划引领，营造有利于田园综合体发展的外部</w:t>
      </w:r>
      <w:r w:rsidRPr="000C2153">
        <w:rPr>
          <w:rFonts w:ascii="微软雅黑" w:eastAsia="微软雅黑" w:hAnsi="微软雅黑" w:hint="eastAsia"/>
          <w:color w:val="000000"/>
          <w:sz w:val="27"/>
          <w:szCs w:val="27"/>
        </w:rPr>
        <w:lastRenderedPageBreak/>
        <w:t>环境；企业、村集体组织、农民合作组织及其他市场主体要充分发挥在产业发展和实体运营中的作用；农民通过合作化、组织化等方式，实现在田园综合体发展中的收益分配、就近就业。</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三、试点立项条件</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一）功能定位准确。围绕有基础、有优势、有特色、有规模、有潜力的乡村和产业，按照农田田园化、产业融合化、城乡一体化的发展路径，以自然村落、特色片区为开发单元，全域统筹开发，全面完善基础设施。突出农业为基础的产业融合、辐射带动等主体功能，具备循环农业、创意农业、农事体验一体化发展的基础和前景。明确农村集体组织在建设田园综合体中的功能定位，充分发挥其在开发集体资源、发展集体经济、服务集体成员等方面的作用。</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二）基础条件较优。区域范围内农业基础设施较为完备，农村特色优势产业基础较好，区位条件优越，核心区集中连片，发展潜力较大；已自筹资金投入较大且有持续投入能力，建设规划能积极引入先进生产要素和社会资本，发展思路清晰；农民合作组织比较健全，规模经营显著，龙头企业带动力强，与村集体组织、农民及农民合作社建立了比较密切的利益联结机制。</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（三）生态环境友好。能落实绿色发展理念，保留青山绿水，积极推进山</w:t>
      </w:r>
      <w:hyperlink r:id="rId102" w:tgtFrame="_blank" w:history="1">
        <w:r w:rsidRPr="000C2153">
          <w:rPr>
            <w:rFonts w:hint="eastAsia"/>
            <w:color w:val="000000"/>
            <w:sz w:val="27"/>
            <w:szCs w:val="27"/>
          </w:rPr>
          <w:t>水田</w:t>
        </w:r>
      </w:hyperlink>
      <w:r w:rsidRPr="000C2153">
        <w:rPr>
          <w:rFonts w:ascii="微软雅黑" w:eastAsia="微软雅黑" w:hAnsi="微软雅黑" w:hint="eastAsia"/>
          <w:color w:val="000000"/>
          <w:sz w:val="27"/>
          <w:szCs w:val="27"/>
        </w:rPr>
        <w:t>林湖整体保护、综合治理，践行看得见山、望得到水、记得</w:t>
      </w:r>
      <w:r w:rsidRPr="000C2153">
        <w:rPr>
          <w:rFonts w:ascii="微软雅黑" w:eastAsia="微软雅黑" w:hAnsi="微软雅黑" w:hint="eastAsia"/>
          <w:color w:val="000000"/>
          <w:sz w:val="27"/>
          <w:szCs w:val="27"/>
        </w:rPr>
        <w:lastRenderedPageBreak/>
        <w:t>住乡愁的生产生活方式。农业清洁生产基础较好，农业环境突出问题得到有效治理。</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四）政策措施有力。地方政府积极性高，在用地保障、财政扶持、金融服务、科技创新应用、人才支撑等方面有明确举措，水、电、路、网络等基础设施完备。建设主体清晰，管理方式创新，搭建了政府引导、市场主导的建设格局。积极在田园综合体建设用地保障机制等方面作出探索，为产业发展和田园综合体建设提供条件。</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（五）投融资机制明确。积极创新财政投入使用方式，探索推广政府和社会资本合作，综合考虑运用先建后补、贴息、以奖代补、担保</w:t>
      </w:r>
      <w:hyperlink r:id="rId103" w:tgtFrame="_blank" w:history="1">
        <w:r w:rsidRPr="000C2153">
          <w:rPr>
            <w:rFonts w:hint="eastAsia"/>
            <w:color w:val="000000"/>
            <w:sz w:val="27"/>
            <w:szCs w:val="27"/>
          </w:rPr>
          <w:t>补贴</w:t>
        </w:r>
      </w:hyperlink>
      <w:r w:rsidRPr="000C2153">
        <w:rPr>
          <w:rFonts w:ascii="微软雅黑" w:eastAsia="微软雅黑" w:hAnsi="微软雅黑" w:hint="eastAsia"/>
          <w:color w:val="000000"/>
          <w:sz w:val="27"/>
          <w:szCs w:val="27"/>
        </w:rPr>
        <w:t>、风险补偿金等，撬动金融和社会资本投向田园综合体建设。鼓励各类金融机构加大金融支持田园综合体建设力度,积极统筹各渠道支农资金支持田园综合体建设。严控政府债务风险和村级组织债务风险，不新增债务负担。</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六）带动作用显著。以农村集体组织、农民合作社为主要载体，组织引导农民参与建设管理，保障原住农民的参与权和受益权，实现田园综合体的共建共享。通过构建股份合作、财政资金股权量化等模式，创新农民利益共享机制，让农民分享产业增值收益。</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（七）运行管理顺畅。根据当地主导产业规划和新型经营主体发展培育水平，因地制宜探索田园综合体的建设模式和运营管理模式。可采取村集体组织、合作组织、龙头企业等共同参与建设田园综合体，盘活</w:t>
      </w:r>
      <w:r w:rsidRPr="000C2153">
        <w:rPr>
          <w:rFonts w:ascii="微软雅黑" w:eastAsia="微软雅黑" w:hAnsi="微软雅黑" w:hint="eastAsia"/>
          <w:color w:val="000000"/>
          <w:sz w:val="27"/>
          <w:szCs w:val="27"/>
        </w:rPr>
        <w:lastRenderedPageBreak/>
        <w:t>存量资源、调动各方积极性，通过创新机制激发田园综合体建设和运行内生动力。</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（八）不予受理的情况。未突出以农为本，项目布局和业态发展上与农业未能有机融合，以非农业产业为主导产业；不符合产业发展政策；资源环境承载能力较差；违反国家</w:t>
      </w:r>
      <w:hyperlink r:id="rId104" w:tgtFrame="_blank" w:history="1">
        <w:r w:rsidRPr="000C2153">
          <w:rPr>
            <w:rFonts w:hint="eastAsia"/>
            <w:color w:val="000000"/>
            <w:sz w:val="27"/>
            <w:szCs w:val="27"/>
          </w:rPr>
          <w:t>土地管理</w:t>
        </w:r>
      </w:hyperlink>
      <w:r w:rsidRPr="000C2153">
        <w:rPr>
          <w:rFonts w:ascii="微软雅黑" w:eastAsia="微软雅黑" w:hAnsi="微软雅黑" w:hint="eastAsia"/>
          <w:color w:val="000000"/>
          <w:sz w:val="27"/>
          <w:szCs w:val="27"/>
        </w:rPr>
        <w:t>使用相关法律法规，违规进行房地产开发和私人庄园会所建设；乡、村举债搞建设；存在大拆大建、盲目铺摊子等情况。</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四、</w:t>
      </w:r>
      <w:hyperlink r:id="rId105" w:tgtFrame="_blank" w:history="1">
        <w:r w:rsidRPr="000C2153">
          <w:rPr>
            <w:rFonts w:hint="eastAsia"/>
            <w:color w:val="000000"/>
            <w:sz w:val="27"/>
            <w:szCs w:val="27"/>
          </w:rPr>
          <w:t>扶持政策</w:t>
        </w:r>
      </w:hyperlink>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综合考虑各地发展建设基础、开展试点意愿、改革创新工作推进、试点代表性等因素，按照三年规划、分年实施的方式，2017年，财政部确定河北、山西、内蒙古、江苏、浙江、福建、江西、山东、河南、湖南、广东、广西、海南、重庆、四川、云南、陕西、甘肃18个省份开展田园综合体建设试点，中央财政从农村综合改革转移支付资金、现代农业生产发展资金、农业综合开发补助资金中统筹安排，每个试点省份安排试点项目1—2个，各省可根据实际情况确定具体试点项目个数。在不违反农村综合改革和国家农业综合开发现行政策规定的前提下，试点项目资金和项目管理具体政策由地方自行研究确定。同时，各试点省份、县级财政部门要统筹使用好现有各项涉农财政支持政策，创新财政资金使用方式，采取资金整合、先建后补、以奖代补、政府与社会资本合作、政府引导基金等方式支持开展试点项目建设。经财政部年度考核</w:t>
      </w:r>
      <w:r w:rsidRPr="000C2153">
        <w:rPr>
          <w:rFonts w:ascii="微软雅黑" w:eastAsia="微软雅黑" w:hAnsi="微软雅黑" w:hint="eastAsia"/>
          <w:color w:val="000000"/>
          <w:sz w:val="27"/>
          <w:szCs w:val="27"/>
        </w:rPr>
        <w:lastRenderedPageBreak/>
        <w:t>评价合格后，试点项目可继续安排中央财政资金。对试点效果不理想的项目将不再安排资金支持。</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同时，鼓励有条件的省份参照本通知精神开展省级田园综合体试点，每个省份数量控制在1—2个。如建设成效较好，符合政策要求，今后可逐步纳入国家级试点范围。</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五、有关工作要求</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一）强化组织领导。各试点省份要建立健全财政部门牵头负责（重庆市试点工作由重庆市农业综合开发办公室牵头负责，下同），农村综合改革机构、农业综合开发机构分别具体组织并互相支持配合的工作机制，协调发挥好各职能部门的作用，细化工作任务，认真组织实施，确保试点工作开好头起好步。要加强与地方政府的沟通协调，引导和鼓励地方政府积极搭建田园综合体基础设施和产业政策平台。引导地方政府因地制宜选择田园综合体建设模式，建立运行顺畅的建设管理机制，为项目建设创造良好的发展环境。</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二）科学编制规划和年度实施方案。各有关地区要科学编制试点项目发展规划和年度实施方案，内容应包括拟建设田园综合体的基本情况、目标任务、区域功能布局、主要建设内容和任务；水土资源开发和生态环境保护；建设、管理和运营体制机制；</w:t>
      </w:r>
      <w:hyperlink r:id="rId106" w:tgtFrame="_blank" w:history="1">
        <w:r w:rsidRPr="000C2153">
          <w:rPr>
            <w:rFonts w:hint="eastAsia"/>
            <w:color w:val="000000"/>
            <w:sz w:val="27"/>
            <w:szCs w:val="27"/>
          </w:rPr>
          <w:t>投资</w:t>
        </w:r>
      </w:hyperlink>
      <w:r w:rsidRPr="000C2153">
        <w:rPr>
          <w:rFonts w:ascii="微软雅黑" w:eastAsia="微软雅黑" w:hAnsi="微软雅黑" w:hint="eastAsia"/>
          <w:color w:val="000000"/>
          <w:sz w:val="27"/>
          <w:szCs w:val="27"/>
        </w:rPr>
        <w:t>估算与资金筹措方案；资源环境评估分析；政策保障措施等内容。</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lastRenderedPageBreak/>
        <w:t>（三）严格试点项目管理。拟开展试点项目的县（市、区），要成立以县级人民政府主要领导任组长，财政部门及农村综合改革机构、农业综合开发机构牵头落实，发改、国土、环保、水利、农业、林业等有关部门参加的田园综合体建设领导小组，统筹组织试点项目的申报和实施工作；县级人民政府组织编制试点规划和实施方案，按规定程序报送省级财政部门。</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四）坚持省级竞争立项。田园综合体建设试点项目由省级财政部门统一组织以竞争立项的方式确定。要建立健全公开透明、客观公正、科学规范的项目竞争立项机制，择优选项。竞争立项结果应按照政府信息公开的要求，作为主动公开事项向社会公开。省级财政部门要根据竞争立项的结果，将试点规划和实施方案报财政部备案。</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五）加强资金监管和考核评价。各级财政部门及农村综合改革机构、农业综合开发机构要严格执行相关制度，确保资金安全有效使用。要加强项目实施和资金管理的跟踪问效和综合分析评价，根据有关政策对违规违纪问题进行处理。建立激励约束机制，实行动态管理，财政部将根据正式备案的试点规划和实施方案，对试点项目进行重点考核。对考核评价结果较好的试点省份予以连续扶持并加大投入力度，继续安排扩大试点范围；对试点工作开展不力的将取消试点资格。</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（六）及时总结试点经验。开展田园综合体试点项目建设是一项全新的工作，各地要进一步加强调查研究，及时掌握和跟踪项目实施及运</w:t>
      </w:r>
      <w:r w:rsidRPr="000C2153">
        <w:rPr>
          <w:rFonts w:ascii="微软雅黑" w:eastAsia="微软雅黑" w:hAnsi="微软雅黑" w:hint="eastAsia"/>
          <w:color w:val="000000"/>
          <w:sz w:val="27"/>
          <w:szCs w:val="27"/>
        </w:rPr>
        <w:lastRenderedPageBreak/>
        <w:t>行情况，不断总结经验，针对存在的问题，及时完善相关政策措施，确保取得预期成效。财政部将会同中央有关单位和部门，对各地开展田园综合体的建设情况进行跟踪调研指导，总结经验，不断完善试点政策。</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七）材料报送及要求。试点省份财政部门应于2017年6月30日前，分别向财政部农业司（国务院农村综改办）、国家农发办报送田园综合体试点材料（附电子文档光盘）。在实施过程中有关具体工作及要求，另行通知。</w:t>
      </w:r>
    </w:p>
    <w:p w:rsidR="000C2153" w:rsidRPr="000C2153" w:rsidRDefault="000C2153" w:rsidP="000C2153">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在申报过程中，如有疑问，请及时与财政部联系。</w:t>
      </w:r>
    </w:p>
    <w:p w:rsidR="000C2153" w:rsidRPr="000C2153" w:rsidRDefault="000C2153" w:rsidP="000C2153">
      <w:pPr>
        <w:pStyle w:val="a8"/>
        <w:shd w:val="clear" w:color="auto" w:fill="FFFFFF"/>
        <w:wordWrap w:val="0"/>
        <w:spacing w:before="0" w:beforeAutospacing="0" w:after="375" w:afterAutospacing="0" w:line="375" w:lineRule="atLeast"/>
        <w:ind w:firstLine="480"/>
        <w:jc w:val="right"/>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财 政 部</w:t>
      </w:r>
    </w:p>
    <w:p w:rsidR="000C2153" w:rsidRPr="000C2153" w:rsidRDefault="000C2153" w:rsidP="000C2153">
      <w:pPr>
        <w:pStyle w:val="a8"/>
        <w:shd w:val="clear" w:color="auto" w:fill="FFFFFF"/>
        <w:wordWrap w:val="0"/>
        <w:spacing w:before="0" w:beforeAutospacing="0" w:after="375" w:afterAutospacing="0" w:line="375" w:lineRule="atLeast"/>
        <w:ind w:firstLine="480"/>
        <w:jc w:val="right"/>
        <w:rPr>
          <w:rFonts w:ascii="微软雅黑" w:eastAsia="微软雅黑" w:hAnsi="微软雅黑"/>
          <w:color w:val="000000"/>
          <w:sz w:val="27"/>
          <w:szCs w:val="27"/>
        </w:rPr>
      </w:pPr>
      <w:r w:rsidRPr="000C2153">
        <w:rPr>
          <w:rFonts w:ascii="微软雅黑" w:eastAsia="微软雅黑" w:hAnsi="微软雅黑" w:hint="eastAsia"/>
          <w:color w:val="000000"/>
          <w:sz w:val="27"/>
          <w:szCs w:val="27"/>
        </w:rPr>
        <w:t>2017年5月24日</w:t>
      </w:r>
    </w:p>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 w:rsidR="000C2153" w:rsidRDefault="000C2153" w:rsidP="000C2153">
      <w:pPr>
        <w:pStyle w:val="3"/>
        <w:jc w:val="center"/>
        <w:rPr>
          <w:sz w:val="30"/>
          <w:szCs w:val="30"/>
        </w:rPr>
      </w:pPr>
      <w:bookmarkStart w:id="108" w:name="_Toc12864259"/>
      <w:r w:rsidRPr="000C2153">
        <w:rPr>
          <w:rFonts w:hint="eastAsia"/>
          <w:sz w:val="30"/>
          <w:szCs w:val="30"/>
        </w:rPr>
        <w:lastRenderedPageBreak/>
        <w:t>国务院办公厅关于县域创新驱动发展的若干意见（国办发〔</w:t>
      </w:r>
      <w:r w:rsidRPr="000C2153">
        <w:rPr>
          <w:rFonts w:hint="eastAsia"/>
          <w:sz w:val="30"/>
          <w:szCs w:val="30"/>
        </w:rPr>
        <w:t>2017</w:t>
      </w:r>
      <w:r w:rsidRPr="000C2153">
        <w:rPr>
          <w:rFonts w:hint="eastAsia"/>
          <w:sz w:val="30"/>
          <w:szCs w:val="30"/>
        </w:rPr>
        <w:t>〕</w:t>
      </w:r>
      <w:r w:rsidRPr="000C2153">
        <w:rPr>
          <w:rFonts w:hint="eastAsia"/>
          <w:sz w:val="30"/>
          <w:szCs w:val="30"/>
        </w:rPr>
        <w:t>43</w:t>
      </w:r>
      <w:r w:rsidRPr="000C2153">
        <w:rPr>
          <w:rFonts w:hint="eastAsia"/>
          <w:sz w:val="30"/>
          <w:szCs w:val="30"/>
        </w:rPr>
        <w:t>号）</w:t>
      </w:r>
      <w:bookmarkEnd w:id="108"/>
    </w:p>
    <w:p w:rsidR="000C2153" w:rsidRPr="000C2153" w:rsidRDefault="000C2153" w:rsidP="000C2153">
      <w:pPr>
        <w:widowControl/>
        <w:shd w:val="clear" w:color="auto" w:fill="FFFFFF"/>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各省、自治区、直辖市人民政府，国务院各部委、各直属机构：</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实施创新驱动发展战略，基础在县域，活力在县域，难点也在县域。新形势下，支持县域开展以科技创新为核心的全面创新，推动大众创业、万众创新，加快实现创新驱动发展，是打造发展新引擎、培育发展新动能的重要举措，对于推动县域经济社会协调发展、确保如期实现全面建成小康社会奋斗目标具有重要意义。经过多年努力，我国县域科技创新取得了长足进步，对县域经济社会发展的支撑作用显著增强，但总体仍然比较薄弱，区域发展不平衡等现象突出。为贯彻落实全国科技创新大会精神，全面实施《国家创新驱动发展战略纲要》，推动实现县域创新驱动发展，现提出以下意见。</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一、总体要求</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（一）指导思想。</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全面贯彻党的十八大和十八届三中、四中、五中、六中全会精神，深入贯彻习近平总书记系列重要讲话精神和治国理政新理念新思想新战略，按照党中央、国务院决策部署，统筹推进“五位一体”总体布局和协调推进“四个全面”战略布局，牢固树立和贯彻落实新发展理念，发挥科技创新在县域供给侧结构性改革中的支撑引领作用，强化科技与县域经济社会发展有效对接，打通从科技强、产业强到经济社会发展强的通道。以建设创新型县（市）和创新型乡镇为抓手，深入推动大众创业、万众创新，整合优化县域创新创业资源，构建多层次、多元化县域</w:t>
      </w:r>
      <w:r w:rsidRPr="000C2153">
        <w:rPr>
          <w:rFonts w:ascii="微软雅黑" w:eastAsia="微软雅黑" w:hAnsi="微软雅黑" w:cs="宋体" w:hint="eastAsia"/>
          <w:color w:val="000000"/>
          <w:kern w:val="0"/>
          <w:sz w:val="27"/>
          <w:szCs w:val="27"/>
        </w:rPr>
        <w:lastRenderedPageBreak/>
        <w:t>创新创业格局，推动形成县域创新创业新热潮，以创业带动就业，培育新动能、发展新经济，促进实现县域创新驱动发展。</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（二）基本原则。</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创新驱动。坚持创新是引领发展的第一动力，加强创新资源共享，完善创业培育服务，激发全社会创新创业活力，推动大众创业、万众创新向更大范围、更高层次、更深程度发展，加快形成具有县域特色的创新驱动发展路径。</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——人才为先。坚持把人才作为支撑县域创新发展的第一资源，实施更加积极的创新创业激励和人才吸引政策，优化县域人才环境，加快培育集聚创新创业人才队伍。</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——需求导向。紧扣县域经济社会发展内在需求，提高科技创新供给质量和效率，集聚各类创新资源，促进产学研用结合，加快先进适用科技成果向县域转移转化，做大做强县域特色产业。</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——差异发展。坚持分类指导、精准施策，结合县域经济社会发展水平和定位，因地制宜确定县域创新驱动发展的目标和任务，加快经济发展方式转变和社会转型，推动实现县域差异化、可持续发展。</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（三）主要目标。</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到2020年，县域创新驱动发展环境显著改善，创新驱动发展能力明显增强，全社会科技投入进一步提高，公民科学素质整体提升，大众创业、万众创新的氛围更加浓厚，形成经济社会协调发展的新格局，为我国建成创新型国家奠定基础。</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到2030年，县域创新驱动发展环境进一步优化，创新驱动发展能力大幅提升，创新创业活力有效释放，产业竞争力明显增强，城乡居民收入显著提高，生态环境更加友好，为跻身创新型国家前列提供有力支撑。</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二、重点任务</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（四）加快产业转型升级。</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落实区域发展总体战略和主体功能区规划，支持城镇化地区整合各类创新资源，推动制造、加工等传统产业改造升级，加大新一代信息网络、智能绿色制造等产业关键技术推广应用，培育具有核心竞争力的产业集群。支持农产品主产区加快发展农业高新技术产业，促进农业与旅游休闲、教育文化、健康养生等产业深度融合，发展观光农业、体验农业、创意农业、电子商务、物流等新业态，推动商业模式创新，走产出高效、产品安全、资源节约、环境友好的现代农业发展道路，带动农民增收致富。实施农业产业竞争力提升科技行动，建设国家现代农业产业科技创新中心。支持重点生态功能区以保护自然生态为前提、以资源承载能力和环境容量为基础，科学有度有序开发，促进人口、经济、资源环境均衡发展。结合地方资源禀赋和发展基础，发展知识产权密集型产业，促进县域特色主导产业绿色化、品牌化、高端化、集群化发展。</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（五）培育壮大创新型企业。</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找准县域创新驱动发展的着力点，加强企业技术创新平台和环境建设，在有条件的县（市）培育一批具有较强自主创新能力和国际竞争力的高新技术企业。加快实施《促进科技成果转移转化行动方案》，指导</w:t>
      </w:r>
      <w:r w:rsidRPr="000C2153">
        <w:rPr>
          <w:rFonts w:ascii="微软雅黑" w:eastAsia="微软雅黑" w:hAnsi="微软雅黑" w:cs="宋体" w:hint="eastAsia"/>
          <w:color w:val="000000"/>
          <w:kern w:val="0"/>
          <w:sz w:val="27"/>
          <w:szCs w:val="27"/>
        </w:rPr>
        <w:lastRenderedPageBreak/>
        <w:t>县域内企业加强与高等学校、科研院所的产学研合作，支持有条件的县（市）加强基础研究成果转化和产业化。引导金融机构支持县域科技创新，提升县域科技资源配置和使用效率。支持符合条件的高成长性科技企业上市，引导企业有效利用主板、中小板、创业板、新三板、区域性股权交易市场等多层次资本市场融资。鼓励有条件的县（市）设立科技成果转化基金、创业投资引导基金等，引导社会资本投资初创期、种子期科技型中小企业。鼓励有条件的县（市）采取科技创新券等科技经费后补助措施，支持小微企业应用新技术、新工艺、新材料，发展新服务、新模式、新业态，培育一批掌握行业“专精特新”技术的科技“小巨人”企业。</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（六）集聚创新创业人才。</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发挥企业家在县域创新驱动发展中的关键作用，营造有利于创新型企业家发展的良好环境，支持企业家整合技术、资金、人才等资源，加快企业创新发展。深入推行科技特派员制度，支持科技领军人才、高技能人才、专业技术人才等到县域开展创业服务，引导高校毕业生到县域就业创业，推进农村大众创业、万众创新。推广“科技镇长团”、“博士服务团”等模式，发挥乡土人才等农村实用人才作用，提升县域人才集聚和创新管理服务能力。落实《中华人民共和国促进科技成果转化法》、《实施〈中华人民共和国促进科技成果转化法〉若干规定》，通过股权期权激励等措施，让创新人才在科技成果转移转化过程中得到合理回报，激发各类人才的创新创业活力。加强农民就业创业培训，培育新型职业农民，推动农村劳动力转移就业。</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（七）加强创新创业载体建设。</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科学编制县城总体规划，支持有条件的县（市）高起点规划、高标准建设高新技术产业开发区、农业科技园区、火炬特色产业基地等创新创业平台，并将相关园区纳入县城总体规划统一管理，引领县域创新驱动发展。推动符合条件的科技园区升级为国家高新技术产业开发区，建设若干国家农业高新技术产业开发区。在有条件的县（市）建设创新型县（市）、创新型乡镇。结合县域需求实际，依托科技园区、高等学校、科研院所等，加快发展“互联网+”创业网络体系，建设一批低成本、便利化、全要素、开放式的众创空间、“星创天地”，降低创业门槛，促进创业与创新、创业与就业、线上与线下相结合。鼓励国家（重点）实验室、国家工程（技术）研究中心、高等学校新农村发展研究院等各类创新平台在县域开展应用示范，实现开放共享，为大众创业、万众创新提供有力支撑。推动县域生产力促进中心建设，提升知识产权代理、交易、咨询、评估等服务水平。</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（八）促进县域社会事业发展。</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加大大气污染防治、土壤治理、水环境保护、资源高效利用等领域核心关键技术转化应用力度，强化重点地区生态保护与修复。围绕重大慢病防控、人口老龄化应对等人口健康重大问题，加强疾病防治技术普及推广，加快临床医学研究中心协同创新网络向县域发展，推进健康中国建设。开展集生产生活、文化娱乐、科技教育、医疗卫生等多种服务功能于一体的社区综合技术集成与应用，推动科技成果更多惠及民生改善。加快实施“雪亮工程”，推进县域公共安全视频监控建设和联网应</w:t>
      </w:r>
      <w:r w:rsidRPr="000C2153">
        <w:rPr>
          <w:rFonts w:ascii="微软雅黑" w:eastAsia="微软雅黑" w:hAnsi="微软雅黑" w:cs="宋体" w:hint="eastAsia"/>
          <w:color w:val="000000"/>
          <w:kern w:val="0"/>
          <w:sz w:val="27"/>
          <w:szCs w:val="27"/>
        </w:rPr>
        <w:lastRenderedPageBreak/>
        <w:t>用，加强县乡村三级综合治理信息化建设，提高县域社会治安综合治理科技化水平，建设平安中国。充分发挥市场主体作用，结合地方特色产业基础和发展潜力，加大对经济发达镇、特色小镇、专业小镇、技术创新专业镇等的支持力度，建设美丽乡村。</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（九）创新驱动精准扶贫精准脱贫。</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实施科技扶贫行动，强化科技创新对精准扶贫、精准脱贫的支撑引领作用，瞄准县域脱贫攻坚中存在的科技和人才短板，动员全社会科技资源投身脱贫攻坚，提升县域发展的内生动力。精准对接贫困地区发展的科技需求，加强先进、成熟、适用技术的应用推广和集成示范，支持发展优势特色产业。推进创业式扶贫，激发贫困地区的创新创业热情，提高农民技能素质，以创业式扶贫带动产业发展，帮助建档立卡贫困户脱贫致富。</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（十）加大科学普及力度。</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把县域科学普及摆在与科技创新同等重要的位置，深入开展农业科技教育培训和农村科普活动，切实提高农民科学素质。以社会主义核心价值观为引领，着重在县域普及科学知识、弘扬科学精神、传播科学思想、倡导科学方法，推动形成讲科学、爱科学、学科学、用科学的良好氛围。充分发挥县级学会、企业科协、农技协开展农村科普的独特优势和科技社团促进科技成果转移转化的纽带作用，面向县域有针对性地开展科学普及和信息服务。提高县域中小学科普教育质量，为青少年提供更多参加科普活动的机会。</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（十一）抓好科技创新政策落地。</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加强国家与地方科技创新政策衔接，加大普惠性科技创新政策落实力度，落实企业研发费用税前加计扣除、高新技术企业所得税优惠等创新政策。加大创新产品和服务采购力度，鼓励采用首购、订购等方式支持县域企业发展。面向县域企业等创新主体加强政策培训解读，建立县域科技创新政策落实督查机制，帮助企业更好享受优惠政策。</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三、保障措施</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（十二）加强组织领导。</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推动部省市县联动，建立适应县域创新驱动发展的组织领导体制和工作推进体系，科学谋划创新发展工作格局。强化县（市）科技管理队伍建设，提高县（市）科技部门管理和服务能力，加强对乡镇科技工作的指导。支持有条件的县（市）制定创新发展规划，在科技管理、知识产权运用和保护、人才吸引等方面探索先行先试改革措施。</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（十三）加大支持力度。</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国务院各有关部门要加强对县域创新驱动发展的政策扶持，通过技术创新引导专项（基金）、人才支持计划等，支持县域开展科技创新创业。各地要积极支持县域开展科技创新活动，确保一定比例的科技创新项目、一定数量的科技创新平台和载体在县域落地。</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（十四）开展监测评价。</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实施国家创新调查制度，开展县（市）创新能力监测，加强县（市）创新驱动发展战略研究，优化区域创新布局。指导有条件的地方参照国家创新调查制度开展各具特色的区域创新调查工作。</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（十五）做好宣传总结。</w:t>
      </w:r>
    </w:p>
    <w:p w:rsidR="000C2153" w:rsidRPr="000C2153" w:rsidRDefault="000C2153" w:rsidP="000C2153">
      <w:pPr>
        <w:widowControl/>
        <w:shd w:val="clear" w:color="auto" w:fill="FFFFFF"/>
        <w:ind w:firstLine="480"/>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lastRenderedPageBreak/>
        <w:t>在推动县域创新驱动发展中及时发现新典型、总结新模式、探索新机制，按照国家有关规定对先进单位、先进个人进行奖励和表彰。宣传推广各地成功经验和做法，形成全社会支持县域创新驱动发展的良好局面。</w:t>
      </w:r>
    </w:p>
    <w:p w:rsidR="000C2153" w:rsidRPr="000C2153" w:rsidRDefault="00592AE9" w:rsidP="000C2153">
      <w:pPr>
        <w:widowControl/>
        <w:shd w:val="clear" w:color="auto" w:fill="FFFFFF"/>
        <w:ind w:firstLine="480"/>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000C2153" w:rsidRPr="000C2153">
        <w:rPr>
          <w:rFonts w:ascii="微软雅黑" w:eastAsia="微软雅黑" w:hAnsi="微软雅黑" w:cs="宋体" w:hint="eastAsia"/>
          <w:color w:val="000000"/>
          <w:kern w:val="0"/>
          <w:sz w:val="27"/>
          <w:szCs w:val="27"/>
        </w:rPr>
        <w:t>国务院办公厅</w:t>
      </w:r>
    </w:p>
    <w:p w:rsidR="000C2153" w:rsidRPr="000C2153" w:rsidRDefault="000C2153" w:rsidP="00592AE9">
      <w:pPr>
        <w:widowControl/>
        <w:shd w:val="clear" w:color="auto" w:fill="FFFFFF"/>
        <w:ind w:firstLine="480"/>
        <w:jc w:val="right"/>
        <w:rPr>
          <w:rFonts w:ascii="微软雅黑" w:eastAsia="微软雅黑" w:hAnsi="微软雅黑" w:cs="宋体"/>
          <w:color w:val="000000"/>
          <w:kern w:val="0"/>
          <w:sz w:val="27"/>
          <w:szCs w:val="27"/>
        </w:rPr>
      </w:pPr>
      <w:r w:rsidRPr="000C2153">
        <w:rPr>
          <w:rFonts w:ascii="微软雅黑" w:eastAsia="微软雅黑" w:hAnsi="微软雅黑" w:cs="宋体" w:hint="eastAsia"/>
          <w:color w:val="000000"/>
          <w:kern w:val="0"/>
          <w:sz w:val="27"/>
          <w:szCs w:val="27"/>
        </w:rPr>
        <w:t xml:space="preserve">　　　　　　　　　　　　　　　　　　　　　　　　　　　2017年5月11日</w:t>
      </w:r>
    </w:p>
    <w:p w:rsidR="000C2153" w:rsidRDefault="000C2153"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592AE9" w:rsidP="000C2153"/>
    <w:p w:rsidR="00592AE9" w:rsidRDefault="00281EC1" w:rsidP="00281EC1">
      <w:pPr>
        <w:pStyle w:val="3"/>
        <w:jc w:val="center"/>
        <w:rPr>
          <w:sz w:val="30"/>
          <w:szCs w:val="30"/>
        </w:rPr>
      </w:pPr>
      <w:bookmarkStart w:id="109" w:name="_Toc12864260"/>
      <w:r w:rsidRPr="00281EC1">
        <w:rPr>
          <w:rFonts w:hint="eastAsia"/>
          <w:sz w:val="30"/>
          <w:szCs w:val="30"/>
        </w:rPr>
        <w:lastRenderedPageBreak/>
        <w:t>体育总局办公厅关于推动运动休闲特色小镇建设工作的通知（体群字〔</w:t>
      </w:r>
      <w:r w:rsidRPr="00281EC1">
        <w:rPr>
          <w:rFonts w:hint="eastAsia"/>
          <w:sz w:val="30"/>
          <w:szCs w:val="30"/>
        </w:rPr>
        <w:t>2017</w:t>
      </w:r>
      <w:r w:rsidRPr="00281EC1">
        <w:rPr>
          <w:rFonts w:hint="eastAsia"/>
          <w:sz w:val="30"/>
          <w:szCs w:val="30"/>
        </w:rPr>
        <w:t>〕</w:t>
      </w:r>
      <w:r w:rsidRPr="00281EC1">
        <w:rPr>
          <w:rFonts w:hint="eastAsia"/>
          <w:sz w:val="30"/>
          <w:szCs w:val="30"/>
        </w:rPr>
        <w:t>73</w:t>
      </w:r>
      <w:r w:rsidRPr="00281EC1">
        <w:rPr>
          <w:rFonts w:hint="eastAsia"/>
          <w:sz w:val="30"/>
          <w:szCs w:val="30"/>
        </w:rPr>
        <w:t>号）</w:t>
      </w:r>
      <w:bookmarkEnd w:id="109"/>
    </w:p>
    <w:p w:rsidR="00281EC1" w:rsidRPr="00281EC1" w:rsidRDefault="00281EC1" w:rsidP="00281EC1">
      <w:pPr>
        <w:pStyle w:val="a8"/>
        <w:shd w:val="clear" w:color="auto" w:fill="FFFFFF"/>
        <w:spacing w:before="225" w:beforeAutospacing="0" w:after="0" w:afterAutospacing="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各省、自治区、直辖市、新疆生产建设兵团体育局，体育总局各运动项目管理中心,中国足球协会：</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运动休闲特色小镇是在全面建成小康社会进程中，助力新型城镇化和健康中国建设，促进脱贫攻坚工作，以运动休闲为主题打造的具有独特体育文化内涵、良好体育产业基础，运动休闲、文化、健康、旅游、养老、教育培训等多种功能于一体的空间区域、全民健身发展平台和体育产业基地。</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为贯彻党中央和国务院关于推进特色小镇建设、加大脱贫攻坚工作力度的精神，充分发挥体育在脱贫攻坚工作中的潜在优势作用，更好地为基层经济社会事业、全民健身与健康事业、体育产业发展服务，引导推动运动休闲特色小镇实现可持续发展，体育总局决定组织开展运动休闲特色小镇建设、促进脱贫攻坚工作。现将有关事宜通知如下。</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一、重要意义</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建设运动休闲特色小镇，是满足群众日益高涨的运动休闲需求的重要举措，是推进体育供给侧结构性改革、加快贫困落后地区经济社会发展、落实新型城镇化战略的重要抓手, 也是促进基层全民健身事业发展、推动全面小康和健康中国建设的重要探索。建设运动休闲特色小镇，能够搭建体育运动新平台、树立体育特色新品牌、引领运动休闲新风尚，</w:t>
      </w:r>
      <w:r w:rsidRPr="00281EC1">
        <w:rPr>
          <w:rFonts w:ascii="微软雅黑" w:eastAsia="微软雅黑" w:hAnsi="微软雅黑" w:hint="eastAsia"/>
          <w:color w:val="000000"/>
          <w:sz w:val="27"/>
          <w:szCs w:val="27"/>
        </w:rPr>
        <w:lastRenderedPageBreak/>
        <w:t>增加适应群众需求的运动休闲产品和服务供给;有利于培育体育产业市场、吸引长效投资，促进镇域运动休闲、旅游、健康等现代服务业良性互动发展，推动产业集聚并形成辐射带动效应，为城镇经济社会发展增添新动能；能够有效促进以乡镇为重点的基本公共体育服务均等化，促进乡镇全民健身事业和健康事业实现深度融合与协调发展。</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二、总体要求</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（一）指导思想</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认真贯彻落实习近平总书记系列重要讲话精神和治国理政新理念、新思想、新战略，落实总书记关于体育工作重要论述，落实党的十八大和十八届三中、四中、五中、六中全会精神，统筹推进“五位一体”总体布局，协调推进“四个全面”战略布局，牢固树立和践行新发展理念，加快推动体育领域供给侧结构性改革。将运动休闲特色小镇建设和脱贫攻坚任务紧密结合起来，多措并举、综合施策、循序渐进、以点带面，促进体育与健康、旅游、文化等产业实现融合协调发展，带动区域经济社会各项事业全面发展。</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（二）基本原则</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因地制宜，突出特色。从各地实际出发，依托各地传统体育文化、运动休闲项目和体育赛事活动等特色资源，结合当地经济社会发展和基础设施条件，依据产业基础和发展潜力科学规划、量力而行、有序推进，形成体育产业创新平台。</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——政府引导，市场主导。强化政府在政策引导、平台搭建、公共服务等方面的保障作用；充分发挥市场在资源配置中的决定性作用，鼓</w:t>
      </w:r>
      <w:r w:rsidRPr="00281EC1">
        <w:rPr>
          <w:rFonts w:ascii="微软雅黑" w:eastAsia="微软雅黑" w:hAnsi="微软雅黑" w:hint="eastAsia"/>
          <w:color w:val="000000"/>
          <w:sz w:val="27"/>
          <w:szCs w:val="27"/>
        </w:rPr>
        <w:lastRenderedPageBreak/>
        <w:t>励、引导和支持企业、社会力量参与运动休闲特色小镇建设并发挥重要作用。</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改革创新，融合发展。鼓励各地创新发展理念、发展模式，大胆探索、先行先试。促进运动休闲产业与体育用品制造、体育场地设施建设等其他体育产业门类，旅游、健康、文化等其他相关产业互通互融和协调发展。</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以人为本，分类指导。以人民为中心，充分发挥体育在引导形成健康生活方式、提高人民健康水平、促进经济社会发展等方面的综合作用。鼓励东部地区多出经验和示范，政策和资金支持向中西部贫困地区倾斜。</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三、主要任务</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到2020年，在全国扶持建设一批体育特征鲜明、文化气息浓厚、产业集聚融合、生态环境良好、惠及人民健康的运动休闲特色小镇;带动小镇所在区域体育、健康及相关产业发展，打造各具特色的运动休闲产业集聚区，形成与当地经济社会相适应、良性互动的运动休闲产业和全民健身发展格局;推动中西部贫困落后地区在整体上提升公共体育服务供给和经济社会发展水平,增加就业岗位和居民收入，推进脱贫攻坚工作。运动休闲特色小镇要形成以下特色：</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——特色鲜明的运动休闲业态。聚焦运动休闲、体育健康等主题，形成体育竞赛表演、体育健身休闲、体育场馆服务、体育培训与教育、体育传媒与信息服务、体育用品制造等产业形态。</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lastRenderedPageBreak/>
        <w:t>——深厚浓郁的体育文化氛围。具备成熟的体育赛事组织运营经验，经常开展具有特色的品牌全民健身赛事和活动，以独具特色的运动项目文化或民族民间民俗传统体育文化为引领，形成运动休闲特色名片。</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与旅游等相关产业融合发展。实现体育旅游、体育传媒、体育会展、体育广告、体育影视等相关业态共享发展，运动休闲与旅游、文化、养老、教育、健康、农业、林业、水利、通用航空、交通运输等业态融合发展，打造旅游目的地。</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——脱贫成效明显。通过当地体育特色产业的发展吸纳就业，创造增收门路，促进当地特色农产品销售，在体育脱贫攻坚中树立示范。</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禀赋资源的合理有效利用。自然资源丰富的小镇依托自然地理优势发展冰雪、山地户外、水上、汽车摩托车、航空等运动项目；民族文化资源丰富的小镇依托人文资源发展民族民俗体育文化。大城市周边重点镇加强与城市发展的统筹规划与体育健身功能配套；远离中心城市的小镇完善基础设施和公共体育服务，服务农村。</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四、组织实施</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运动休闲特色小镇的建设由地方各级政府及其体育等相关部门根据当地实际进行,充分发挥社会力量和市场机制的作用,避免盲目跟风。各省（区、市）体育局、体育总局有关运动项目管理中心分别根据当地和运动项目实际向体育总局推荐小镇项目、进行业务指导。体育总局主要以组织开展运动休闲特色小镇示范试点、制定完善政策的方式加强行业管理和引导。</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（一）项目报送</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lastRenderedPageBreak/>
        <w:t>1．报送程序</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坚持地方自愿申报和省（区、市）体育局、体育总局运动项目管理中心（项目协会）推荐相结合，按年度分批报送。县级体育行政部门根据实际情况，将辖区内符合条件的项目上报省（区、市）体育局，省（区、市）体育局进行审核后推荐上报体育总局。体育总局各运动项目管理中心（项目协会）可直接推荐项目。</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2．基本条件</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申报和推荐的小镇应具备以下基本条件：</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（1）交通便利，自然生态和人文环境好；</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（2）体育工作基础扎实，在运动休闲方面特色鲜明；</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（3）近5年无重大安全生产事故、重大环境污染、重大生态破坏、重大群体性社会事件、历史文化遗存破坏现象；</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（4）小镇所在县（区、市）政府高度重视体育工作，能对发展运动休闲特色小镇提供政策保障；</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（5）运动休闲特色小镇建设对当地推进脱贫攻坚工作具有特殊意义。</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3．推荐数量（2017年度）</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（1）京津冀三省（市）各推荐3个，其他省（区、市）各推荐1—2个；</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lastRenderedPageBreak/>
        <w:t>（2）体育总局有关运动项目管理中心各推荐1个。</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（二）政策支持</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对所推荐的第一批小镇项目，体育总局将组织专家对规划进行评审，筛选出一批基础扎实、条件良好、具备优势、特色鲜明的运动休闲小镇进行试点示范，并会同有关部门给予引导和支持。</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对纳入试点的小镇，一次性给予一定的经费资助，用于建设完善运动休闲设施，组织开展群众身边的体育健身赛事和活动。</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体育总局各运动项目管理中心（项目协会）将向各小镇提供体育设施标准化设计样式，配置各类赛事资源。</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体育总局将会同中央有关部门制定完善运动休闲特色小镇建设有关政策、细化工作方案，推动此项工作持续健康发展，成为脱贫攻坚工作的助力项目。</w:t>
      </w:r>
    </w:p>
    <w:p w:rsidR="00281EC1" w:rsidRPr="00281EC1" w:rsidRDefault="00281EC1" w:rsidP="00281EC1">
      <w:pPr>
        <w:pStyle w:val="a8"/>
        <w:shd w:val="clear" w:color="auto" w:fill="FFFFFF"/>
        <w:spacing w:before="0"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(三)有关要求</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各省（区、市）体育局和体育总局运动项目管理中心要认真组织，做好运动休闲特色小镇遴选和推荐工作，坚持优中选优、宁缺勿滥，把好关口，保证推荐上报的材料真实准确。</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请组织填报《2017年度运动休闲特色小镇推荐表》（附件1），按附件2的提纲格式报送《运动休闲特色小镇建设工作汇报材料》（含电子版），提供运动休闲特色小镇建设总体规划，于2017年6月20日前一并报送体育总局。</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lastRenderedPageBreak/>
        <w:t>联系人：体育总局群体司健身设施处赵爱国</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附件：</w:t>
      </w:r>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1．</w:t>
      </w:r>
      <w:hyperlink r:id="rId107" w:tgtFrame="_blank" w:history="1">
        <w:r w:rsidRPr="00281EC1">
          <w:rPr>
            <w:rFonts w:ascii="微软雅黑" w:eastAsia="微软雅黑" w:hAnsi="微软雅黑" w:hint="eastAsia"/>
            <w:color w:val="000000"/>
            <w:sz w:val="27"/>
            <w:szCs w:val="27"/>
          </w:rPr>
          <w:t>2017年度运动休闲特色小镇推荐表</w:t>
        </w:r>
      </w:hyperlink>
    </w:p>
    <w:p w:rsidR="00281EC1" w:rsidRPr="00281EC1" w:rsidRDefault="00281EC1" w:rsidP="00281EC1">
      <w:pPr>
        <w:pStyle w:val="a8"/>
        <w:shd w:val="clear" w:color="auto" w:fill="FFFFFF"/>
        <w:spacing w:before="225" w:beforeAutospacing="0" w:after="0" w:afterAutospacing="0"/>
        <w:ind w:firstLine="480"/>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2．</w:t>
      </w:r>
      <w:hyperlink r:id="rId108" w:tgtFrame="_blank" w:history="1">
        <w:r w:rsidRPr="00281EC1">
          <w:rPr>
            <w:rFonts w:ascii="微软雅黑" w:eastAsia="微软雅黑" w:hAnsi="微软雅黑" w:hint="eastAsia"/>
            <w:color w:val="000000"/>
            <w:sz w:val="27"/>
            <w:szCs w:val="27"/>
          </w:rPr>
          <w:t>运动休闲特色小镇建设工作汇报材料（提纲）</w:t>
        </w:r>
      </w:hyperlink>
    </w:p>
    <w:p w:rsidR="00281EC1" w:rsidRPr="00281EC1" w:rsidRDefault="00281EC1" w:rsidP="00281EC1">
      <w:pPr>
        <w:pStyle w:val="a8"/>
        <w:shd w:val="clear" w:color="auto" w:fill="FFFFFF"/>
        <w:spacing w:before="0" w:beforeAutospacing="0" w:after="0" w:afterAutospacing="0"/>
        <w:ind w:firstLine="480"/>
        <w:jc w:val="right"/>
        <w:rPr>
          <w:rFonts w:ascii="微软雅黑" w:eastAsia="微软雅黑" w:hAnsi="微软雅黑"/>
          <w:color w:val="000000"/>
          <w:sz w:val="27"/>
          <w:szCs w:val="27"/>
        </w:rPr>
      </w:pPr>
      <w:r w:rsidRPr="00281EC1">
        <w:rPr>
          <w:rFonts w:ascii="微软雅黑" w:eastAsia="微软雅黑" w:hAnsi="微软雅黑" w:hint="eastAsia"/>
          <w:color w:val="000000"/>
          <w:sz w:val="27"/>
          <w:szCs w:val="27"/>
        </w:rPr>
        <w:t>体育总局办公厅</w:t>
      </w:r>
      <w:r w:rsidRPr="00281EC1">
        <w:rPr>
          <w:rFonts w:ascii="微软雅黑" w:eastAsia="微软雅黑" w:hAnsi="微软雅黑" w:hint="eastAsia"/>
          <w:color w:val="000000"/>
          <w:sz w:val="27"/>
          <w:szCs w:val="27"/>
        </w:rPr>
        <w:br/>
        <w:t>2017年5月9日</w:t>
      </w:r>
    </w:p>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Pr="00281EC1" w:rsidRDefault="00281EC1" w:rsidP="00281EC1">
      <w:pPr>
        <w:pStyle w:val="3"/>
        <w:jc w:val="center"/>
        <w:rPr>
          <w:sz w:val="30"/>
          <w:szCs w:val="30"/>
        </w:rPr>
      </w:pPr>
      <w:bookmarkStart w:id="110" w:name="_Toc12864261"/>
      <w:r w:rsidRPr="00281EC1">
        <w:rPr>
          <w:rFonts w:hint="eastAsia"/>
          <w:sz w:val="30"/>
          <w:szCs w:val="30"/>
        </w:rPr>
        <w:lastRenderedPageBreak/>
        <w:t>城市设计管理办法（中华人民共和国住房和城乡建设部令第</w:t>
      </w:r>
      <w:r w:rsidRPr="00281EC1">
        <w:rPr>
          <w:rFonts w:hint="eastAsia"/>
          <w:sz w:val="30"/>
          <w:szCs w:val="30"/>
        </w:rPr>
        <w:t>35</w:t>
      </w:r>
      <w:r w:rsidRPr="00281EC1">
        <w:rPr>
          <w:rFonts w:hint="eastAsia"/>
          <w:sz w:val="30"/>
          <w:szCs w:val="30"/>
        </w:rPr>
        <w:t>号）</w:t>
      </w:r>
      <w:bookmarkEnd w:id="110"/>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《城市设计管理办法》已经第33次部常务会议审议通过，现予发布，自2017年6月1日起施行。</w:t>
      </w:r>
    </w:p>
    <w:p w:rsidR="00281EC1" w:rsidRPr="00281EC1" w:rsidRDefault="00281EC1" w:rsidP="00281EC1">
      <w:pPr>
        <w:widowControl/>
        <w:shd w:val="clear" w:color="auto" w:fill="FFFFFF"/>
        <w:ind w:firstLine="480"/>
        <w:jc w:val="righ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部  长    陈政高       </w:t>
      </w:r>
    </w:p>
    <w:p w:rsidR="00281EC1" w:rsidRPr="00281EC1" w:rsidRDefault="00281EC1" w:rsidP="00281EC1">
      <w:pPr>
        <w:widowControl/>
        <w:shd w:val="clear" w:color="auto" w:fill="FFFFFF"/>
        <w:ind w:firstLine="480"/>
        <w:jc w:val="righ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2017年3月14日      </w:t>
      </w:r>
    </w:p>
    <w:p w:rsidR="00281EC1" w:rsidRPr="00281EC1" w:rsidRDefault="00281EC1" w:rsidP="00281EC1">
      <w:pPr>
        <w:widowControl/>
        <w:shd w:val="clear" w:color="auto" w:fill="FFFFFF"/>
        <w:ind w:firstLine="480"/>
        <w:jc w:val="right"/>
        <w:rPr>
          <w:rFonts w:ascii="微软雅黑" w:eastAsia="微软雅黑" w:hAnsi="微软雅黑" w:cs="宋体"/>
          <w:color w:val="000000"/>
          <w:kern w:val="0"/>
          <w:sz w:val="27"/>
          <w:szCs w:val="27"/>
        </w:rPr>
      </w:pPr>
    </w:p>
    <w:p w:rsidR="00281EC1" w:rsidRPr="00281EC1" w:rsidRDefault="00281EC1" w:rsidP="00281EC1">
      <w:pPr>
        <w:widowControl/>
        <w:shd w:val="clear" w:color="auto" w:fill="FFFFFF"/>
        <w:ind w:firstLine="480"/>
        <w:jc w:val="right"/>
        <w:rPr>
          <w:rFonts w:ascii="微软雅黑" w:eastAsia="微软雅黑" w:hAnsi="微软雅黑" w:cs="宋体"/>
          <w:color w:val="000000"/>
          <w:kern w:val="0"/>
          <w:sz w:val="27"/>
          <w:szCs w:val="27"/>
        </w:rPr>
      </w:pPr>
    </w:p>
    <w:p w:rsidR="00281EC1" w:rsidRPr="00281EC1" w:rsidRDefault="00281EC1" w:rsidP="00281EC1">
      <w:pPr>
        <w:widowControl/>
        <w:shd w:val="clear" w:color="auto" w:fill="FFFFFF"/>
        <w:jc w:val="center"/>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城 市 设 计 管 理 办 法</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第一条　为提高城市建设水平，塑造城市风貌特色，推进城市设计工作，完善城市规划建设管理，依据《中华人民共和国城乡规划法》等法律法规，制定本办法。</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第二条　城市、县人民政府所在地建制镇开展城市设计管理工作，适用本办法。</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第三条　城市设计是落实城市规划、指导建筑设计、塑造城市特色风貌的有效手段，贯穿于城市规划建设管理全过程。通过城市设计，从整体平面和立体空间上统筹城市建筑布局、协调城市景观风貌，体现地域特征、民族特色和时代风貌。</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第四条　开展城市设计，应当符合城市（县人民政府所在地建制镇）总体规划和相关标准；尊重城市发展规律，坚持以人为本，保护自然环境，传承历史文化，塑造城市特色，优化城市形态，节约集约用地，创</w:t>
      </w:r>
      <w:r w:rsidRPr="00281EC1">
        <w:rPr>
          <w:rFonts w:ascii="微软雅黑" w:eastAsia="微软雅黑" w:hAnsi="微软雅黑" w:cs="宋体" w:hint="eastAsia"/>
          <w:color w:val="000000"/>
          <w:kern w:val="0"/>
          <w:sz w:val="27"/>
          <w:szCs w:val="27"/>
        </w:rPr>
        <w:lastRenderedPageBreak/>
        <w:t>造宜居公共空间；根据经济社会发展水平、资源条件和管理需要，因地制宜，逐步推进。</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第五条　国务院城乡规划主管部门负责指导和监督全国城市设计工作。</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省、自治区城乡规划主管部门负责指导和监督本行政区域内城市设计工作。</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城市、县人民政府城乡规划主管部门负责本行政区域内城市设计的监督管理。</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第六条　城市、县人民政府城乡规划主管部门，应当充分利用新技术开展城市设计工作。有条件的地方可以建立城市设计管理辅助决策系统，并将城市设计要求纳入城市规划管理信息平台。</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第七条　城市设计分为总体城市设计和重点地区城市设计。</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第八条　总体城市设计应当确定城市风貌特色，保护自然山水格局，优化城市形态格局，明确公共空间体系，并可与城市（县人民政府所在地建制镇）总体规划一并报批。</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第九条　下列区域应当编制重点地区城市设计：</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（一）城市核心区和中心地区；</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（二）体现城市历史风貌的地区；</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（三）新城新区；</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（四）重要街道，包括商业街；</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（五）滨水地区，包括沿河、沿海、沿湖地带；</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（六）山前地区；</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（七）其他能够集中体现和塑造城市文化、风貌特色，具有特殊价值的地区。</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第十条　重点地区城市设计应当塑造城市风貌特色，注重与山水自然的共生关系，协调市政工程，组织城市公共空间功能，注重建筑空间尺度，提出建筑高度、体量、风格、色彩等控制要求。</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第十一条　历史文化街区和历史风貌保护相关控制地区开展城市设计，应当根据相关保护规划和要求，整体安排空间格局，保护延续历史文化，明确新建建筑和改扩建建筑的控制要求。</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重要街道、街区开展城市设计，应当根据居民生活和城市公共活动需要，统筹交通组织，合理布置交通设施、市政设施、街道家具，拓展步行活动和绿化空间，提升街道特色和活力。</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第十二条　城市设计重点地区范围以外地区，可以根据当地实际条件，依据总体城市设计，单独或者结合控制性详细规划等开展城市设计，明确建筑特色、公共空间和景观风貌等方面的要求。</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第十三条　编制城市设计时，组织编制机关应当通过座谈、论证、网络等多种形式及渠道，广泛征求专家和公众意见。审批前应依法进行公示，公示时间不少于30日。</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城市设计成果应当自批准之日起20个工作日内，通过政府信息网站以及当地主要新闻媒体予以公布。</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第十四条　重点地区城市设计的内容和要求应当纳入控制性详细规划，并落实到控制性详细规划的相关指标中。</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重点地区的控制性详细规划未体现城市设计内容和要求的，应当及时修改完善。</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第十五条　单体建筑设计和景观、市政工程方案设计应当符合城市设计要求。</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第十六条　以出让方式提供国有土地使用权，以及在城市、县人民政府所在地建制镇规划区内的大型公共建筑项目，应当将城市设计要求纳入规划条件。</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第十七条　城市、县人民政府城乡规划主管部门负责组织编制本行政区域内总体城市设计、重点地区的城市设计，并报本级人民政府审批。</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第十八条　城市、县人民政府城乡规划主管部门组织编制城市设计所需的经费，应列入城乡规划的编制经费预算。</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第十九条　城市、县人民政府城乡规划主管部门开展城乡规划监督检查时，应当加强监督检查城市设计工作情况。</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国务院和省、自治区人民政府城乡规划主管部门应当定期对各地的城市设计工作和风貌管理情况进行检查。</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第二十条　城市、县人民政府城乡规划主管部门进行建筑设计方案审查和规划核实时，应当审核城市设计要求落实情况。</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第二十一条　城市、县人民政府城乡规划主管部门开展城市规划实施评估时，应当同时评估城市设计工作实施情况。</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第二十二条　城市设计的技术管理规定由国务院城乡规划主管部门另行制定。</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第二十三条　各地可根据本办法，按照实际情况，制定实施细则和技术导则。</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第二十四条　县人民政府所在地以外的镇可以参照本办法开展城市设计工作。</w:t>
      </w:r>
    </w:p>
    <w:p w:rsidR="00281EC1" w:rsidRPr="00281EC1" w:rsidRDefault="00281EC1" w:rsidP="00281EC1">
      <w:pPr>
        <w:widowControl/>
        <w:shd w:val="clear" w:color="auto" w:fill="FFFFFF"/>
        <w:ind w:firstLine="480"/>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第二十五条　本办法自2017年6月1日起施行。</w:t>
      </w:r>
    </w:p>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Pr>
        <w:pStyle w:val="3"/>
        <w:jc w:val="center"/>
        <w:rPr>
          <w:sz w:val="30"/>
          <w:szCs w:val="30"/>
        </w:rPr>
      </w:pPr>
      <w:bookmarkStart w:id="111" w:name="_Toc12864262"/>
      <w:r w:rsidRPr="00281EC1">
        <w:rPr>
          <w:rFonts w:hint="eastAsia"/>
          <w:sz w:val="30"/>
          <w:szCs w:val="30"/>
        </w:rPr>
        <w:lastRenderedPageBreak/>
        <w:t>住房城乡建设部</w:t>
      </w:r>
      <w:r w:rsidRPr="00281EC1">
        <w:rPr>
          <w:rFonts w:hint="eastAsia"/>
          <w:sz w:val="30"/>
          <w:szCs w:val="30"/>
        </w:rPr>
        <w:t xml:space="preserve"> </w:t>
      </w:r>
      <w:r w:rsidRPr="00281EC1">
        <w:rPr>
          <w:rFonts w:hint="eastAsia"/>
          <w:sz w:val="30"/>
          <w:szCs w:val="30"/>
        </w:rPr>
        <w:t>国家开发银行关于推进开发性金融支持小城镇建设的通知（建村〔</w:t>
      </w:r>
      <w:r w:rsidRPr="00281EC1">
        <w:rPr>
          <w:rFonts w:hint="eastAsia"/>
          <w:sz w:val="30"/>
          <w:szCs w:val="30"/>
        </w:rPr>
        <w:t>2017</w:t>
      </w:r>
      <w:r w:rsidRPr="00281EC1">
        <w:rPr>
          <w:rFonts w:hint="eastAsia"/>
          <w:sz w:val="30"/>
          <w:szCs w:val="30"/>
        </w:rPr>
        <w:t>〕</w:t>
      </w:r>
      <w:r w:rsidRPr="00281EC1">
        <w:rPr>
          <w:rFonts w:hint="eastAsia"/>
          <w:sz w:val="30"/>
          <w:szCs w:val="30"/>
        </w:rPr>
        <w:t>27</w:t>
      </w:r>
      <w:r w:rsidRPr="00281EC1">
        <w:rPr>
          <w:rFonts w:hint="eastAsia"/>
          <w:sz w:val="30"/>
          <w:szCs w:val="30"/>
        </w:rPr>
        <w:t>号）</w:t>
      </w:r>
      <w:bookmarkEnd w:id="111"/>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各省、自治区、直辖市住房城乡建设厅（建委），北京市农委、规划和国土资源管理委，上海市规划和国土资源管理局，新疆生产建设兵团建设局，国家开发银行各省（区、市）分行、企业局：</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为贯彻落实党中央、国务院关于推进小城镇建设的精神，大力推进开发性金融支持小城镇建设，现就有关工作通知如下。</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一、充分认识开发性金融支持小城镇建设的重要意义</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小城镇是新型城镇化建设的重要载体，是促进城乡协调发展最直接最有效的途径，在推进经济转型升级、绿色低碳发展和生态环境保护等方面发挥着重要作用。小城镇建设任务艰巨，资金需求量大，迫切需要综合运用财政、金融政策，引导金融机构加大支持力度。开发性金融支持是推动小城镇建设的重要手段，是落实供给侧结构性改革的重要举措。各级住房城乡建设部门、国家开发银行各分行要充分认识开发性金融支持小城镇建设的重要意义，加强部行协作，强化资金保障，全面提升小城镇的建设水平和发展质量。</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二、主要工作目标</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（一）落实《住房城乡建设部 国家发展改革委 财政部关于开展特色小镇培育工作的通知》（建村[2016]147号），加快培育1000个左右各具特色、富有活力的休闲旅游、商贸物流、现代制造、教育科技、传统文化、美丽宜居的特色小镇。优先支持《住房城乡建设部关于公布</w:t>
      </w:r>
      <w:r w:rsidRPr="00281EC1">
        <w:rPr>
          <w:rFonts w:ascii="微软雅黑" w:eastAsia="微软雅黑" w:hAnsi="微软雅黑" w:cs="宋体" w:hint="eastAsia"/>
          <w:color w:val="000000"/>
          <w:kern w:val="0"/>
          <w:sz w:val="27"/>
          <w:szCs w:val="27"/>
        </w:rPr>
        <w:lastRenderedPageBreak/>
        <w:t>第一批中国特色小镇名单的通知》（建村[2016]221号）确定的127个特色小镇。</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二）落实《住房城乡建设部等部门关于公布全国重点镇名单的通知》（建村[2014]107号），大力支持3675个重点镇建设，提升发展质量，逐步完善一般小城镇的功能，将一批产业基础较好、基础设施水平较高的小城镇打造成特色小镇。</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（三）着力推进大别山等集中连片贫困地区的脱贫攻坚，优先支持贫困地区基本人居卫生条件改善和建档立卡贫困户的危房改造。</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（四）探索创新小城镇建设运营及投融资模式，充分发挥市场主体作用，打造一批具有示范意义的小城镇建设项目。</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三、重点支持内容</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一）支持以农村人口就地城镇化、提升小城镇公共服务水平和提高承载能力为目的的设施建设。主要包括：土地及房屋的征收、拆迁和补偿；供水、供气、供热、供电、通讯、道路等基础设施建设；学校、医院、邻里中心、博物馆、体育馆、图书馆等公共服务设施建设；防洪、排涝、消防等各类防灾设施建设。重点支持小城镇污水处理、垃圾处理、水环境治理等设施建设。</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二）支持促进小城镇产业发展的配套设施建设。主要包括：标准厂房、众创空间、产品交易等生产平台建设；展示馆、科技馆、文化交流中心、民俗传承基地等展示平台建设；旅游休闲、商贸物流、人才公寓等服务平台建设，以及促进特色产业发展的配套设施建设。</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 xml:space="preserve">　　（三）支持促进小城镇宜居环境塑造和传统文化传承的工程建设。主要包括：镇村街巷整治、园林绿地建设等风貌提升工程；田园风光塑造、生态环境修复、湿地保护等生态保护工程；传统街区修缮、传统村落保护、非物质文化遗产活化等文化保护工程。</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四、建立项目储备制度</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一）建立项目储备库。各县（市、区）住房城乡建设（规划）部门要加快推进本地区小城镇总体规划编制或修编，制定近期建设项目库和年度建设计划，统筹建设项目，确定融资方式和融资规模，完成有关审批手续。</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二）推荐备选项目。各县（市、区）住房城乡建设（规划）部门要组织做好本地区项目与国家开发银行各分行的项目对接和推荐，填写小城镇建设项目入库申报表（详见附件），报省级住房城乡建设部门。省级住房城乡建设部门应汇总项目申报表，于2017年3月底前报住房城乡建设部，并将项目信息录入全国小城镇建设项目储备库（http://www.charmingtown.cn）。</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今后，应在每年11月底前报送下一年度项目申报表，并完成项目录入工作。住房城乡建设部将会同国家开发银行对各地上报项目进行评估，将评估结果好的项目作为优先推荐项目。</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五、加大开发性金融支持力度</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（一）做好融资规划。国家开发银行将依据小城镇总体规划，适时编制相应的融资规划，做好项目融资安排，针对具体项目的融资需求，统筹安排融资方式和融资总量。</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 xml:space="preserve">　　（二）加强信贷支持。国家开发银行各分行要会同各地住房城乡建设（规划）部门，确定小城镇建设的投资主体、投融资模式等，共同做好项目前期准备工作。对纳入全国小城镇建设项目储备库的优先推荐项目，在符合贷款条件的情况下，优先提供中长期信贷支持。</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三）创新融资模式，提供综合性金融服务。国家开发银行将积极发挥“投、贷、债、租、证”的协同作用，为小城镇建设提供综合金融服务。根据项目情况，采用政府和社会资本合作（PPP）、政府购买服务、机制评审等模式，推动项目落地；鼓励大型央企、优质民企以市场化模式支持小城镇建设。在风险可控、商业可持续的前提下，积极开展小城镇建设项目涉及的特许经营权、收费权和购买服务协议下的应收账款质押等担保类贷款业务。</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六、建立工作协调机制</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住房城乡建设部和国家开发银行签署《共同推进小城镇建设战略合作框架协议》，建立部行工作会商制度。省级住房城乡建设部门、国家开发银行省级分行要参照部行合作模式建立工作协调机制，加强沟通、密切合作，及时共享小城镇建设信息，协调解决项目融资、建设中存在的问题和困难；要及时将各地项目进展情况、存在问题及有关建议分别报住房城乡建设部和国家开发银行总行。</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联系人：</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住房城乡建设部村镇建设司　郭志伟、张　雁</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联系电话：010-58934518、58934818（传真）</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国家开发银行评审二局　　　赵晋文、史长虹</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lastRenderedPageBreak/>
        <w:t xml:space="preserve">　　联系电话：010-88309352、68306847（传真）</w:t>
      </w:r>
    </w:p>
    <w:p w:rsidR="00281EC1" w:rsidRPr="00281EC1" w:rsidRDefault="00281EC1" w:rsidP="00281EC1">
      <w:pPr>
        <w:widowControl/>
        <w:spacing w:line="360" w:lineRule="atLeast"/>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xml:space="preserve">　　附件：小城镇建设项目入库申报表</w:t>
      </w:r>
      <w:r w:rsidRPr="00281EC1">
        <w:rPr>
          <w:rFonts w:ascii="微软雅黑" w:eastAsia="微软雅黑" w:hAnsi="微软雅黑" w:cs="宋体" w:hint="eastAsia"/>
          <w:color w:val="000000"/>
          <w:kern w:val="0"/>
          <w:sz w:val="27"/>
          <w:szCs w:val="27"/>
        </w:rPr>
        <w:br/>
        <w:t> </w:t>
      </w:r>
      <w:r w:rsidRPr="00281EC1">
        <w:rPr>
          <w:rFonts w:ascii="微软雅黑" w:eastAsia="微软雅黑" w:hAnsi="微软雅黑" w:cs="宋体" w:hint="eastAsia"/>
          <w:color w:val="000000"/>
          <w:kern w:val="0"/>
          <w:sz w:val="27"/>
          <w:szCs w:val="27"/>
        </w:rPr>
        <w:br/>
        <w:t> </w:t>
      </w:r>
      <w:r w:rsidRPr="00281EC1">
        <w:rPr>
          <w:rFonts w:ascii="微软雅黑" w:eastAsia="微软雅黑" w:hAnsi="微软雅黑" w:cs="宋体" w:hint="eastAsia"/>
          <w:color w:val="000000"/>
          <w:kern w:val="0"/>
          <w:sz w:val="27"/>
          <w:szCs w:val="27"/>
        </w:rPr>
        <w:br/>
        <w:t xml:space="preserve">　　　　　　　　　　　　　　　　　　　　　　　　　　　　　　　　　　　　　中华人民共和国住房和城乡建设部</w:t>
      </w:r>
      <w:r w:rsidRPr="00281EC1">
        <w:rPr>
          <w:rFonts w:ascii="微软雅黑" w:eastAsia="微软雅黑" w:hAnsi="微软雅黑" w:cs="宋体" w:hint="eastAsia"/>
          <w:color w:val="000000"/>
          <w:kern w:val="0"/>
          <w:sz w:val="27"/>
          <w:szCs w:val="27"/>
        </w:rPr>
        <w:br/>
        <w:t xml:space="preserve">　　　　　　　　　　　　　　　　　　　　　　　　　　　　　　　　　　　　　　　国家开发银行股份有限公司</w:t>
      </w:r>
      <w:r w:rsidRPr="00281EC1">
        <w:rPr>
          <w:rFonts w:ascii="微软雅黑" w:eastAsia="微软雅黑" w:hAnsi="微软雅黑" w:cs="宋体" w:hint="eastAsia"/>
          <w:color w:val="000000"/>
          <w:kern w:val="0"/>
          <w:sz w:val="27"/>
          <w:szCs w:val="27"/>
        </w:rPr>
        <w:br/>
        <w:t xml:space="preserve">　　　　　　　　　　　　　　　　　　　　　　　　　　　　　　　　　　　　　　　　　2017年1月24日</w:t>
      </w:r>
    </w:p>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 w:rsidR="00281EC1" w:rsidRDefault="00281EC1" w:rsidP="00281EC1">
      <w:pPr>
        <w:pStyle w:val="3"/>
        <w:jc w:val="center"/>
        <w:rPr>
          <w:sz w:val="30"/>
          <w:szCs w:val="30"/>
        </w:rPr>
      </w:pPr>
      <w:bookmarkStart w:id="112" w:name="_Toc12864263"/>
      <w:r w:rsidRPr="00281EC1">
        <w:rPr>
          <w:rFonts w:hint="eastAsia"/>
          <w:sz w:val="30"/>
          <w:szCs w:val="30"/>
        </w:rPr>
        <w:lastRenderedPageBreak/>
        <w:t>国家发展改革委</w:t>
      </w:r>
      <w:r w:rsidRPr="00281EC1">
        <w:rPr>
          <w:rFonts w:hint="eastAsia"/>
          <w:sz w:val="30"/>
          <w:szCs w:val="30"/>
        </w:rPr>
        <w:t xml:space="preserve"> </w:t>
      </w:r>
      <w:r w:rsidRPr="00281EC1">
        <w:rPr>
          <w:rFonts w:hint="eastAsia"/>
          <w:sz w:val="30"/>
          <w:szCs w:val="30"/>
        </w:rPr>
        <w:t>国家开发银行关于开发性金融支持特色小（城）镇建设促进脱贫攻坚的意见（发改规划〔</w:t>
      </w:r>
      <w:r w:rsidRPr="00281EC1">
        <w:rPr>
          <w:rFonts w:hint="eastAsia"/>
          <w:sz w:val="30"/>
          <w:szCs w:val="30"/>
        </w:rPr>
        <w:t>2017</w:t>
      </w:r>
      <w:r w:rsidRPr="00281EC1">
        <w:rPr>
          <w:rFonts w:hint="eastAsia"/>
          <w:sz w:val="30"/>
          <w:szCs w:val="30"/>
        </w:rPr>
        <w:t>〕</w:t>
      </w:r>
      <w:r w:rsidRPr="00281EC1">
        <w:rPr>
          <w:rFonts w:hint="eastAsia"/>
          <w:sz w:val="30"/>
          <w:szCs w:val="30"/>
        </w:rPr>
        <w:t>102</w:t>
      </w:r>
      <w:r w:rsidRPr="00281EC1">
        <w:rPr>
          <w:rFonts w:hint="eastAsia"/>
          <w:sz w:val="30"/>
          <w:szCs w:val="30"/>
        </w:rPr>
        <w:t>号）</w:t>
      </w:r>
      <w:bookmarkEnd w:id="112"/>
    </w:p>
    <w:p w:rsidR="00281EC1" w:rsidRPr="00281EC1" w:rsidRDefault="00281EC1" w:rsidP="00281EC1">
      <w:pPr>
        <w:widowControl/>
        <w:shd w:val="clear" w:color="auto" w:fill="FFFFFF"/>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各省、自治区、直辖市及计划单列市发展改革委、新疆生产建设兵团发展改革委，国家开发银行各分行：</w:t>
      </w:r>
      <w:r w:rsidRPr="00281EC1">
        <w:rPr>
          <w:rFonts w:ascii="微软雅黑" w:eastAsia="微软雅黑" w:hAnsi="微软雅黑" w:cs="宋体" w:hint="eastAsia"/>
          <w:color w:val="000000"/>
          <w:kern w:val="0"/>
          <w:sz w:val="27"/>
          <w:szCs w:val="27"/>
        </w:rPr>
        <w:br/>
        <w:t>    建设特色小（城）镇是推进供给侧结构性改革的重要平台，是深入推进新型城镇化、辐射带动新农村建设的重要抓手。全力实施脱贫攻坚、坚决打赢脱贫攻坚战是“十三五”时期的重大战略任务。在贫困地区推进特色小（城）镇建设，有利于为特色产业脱贫搭建平台，为转移就业脱贫拓展空间，为易地扶贫搬迁脱贫提供载体。为深入推进特色小（城）镇建设与脱贫攻坚战略相结合，加快脱贫攻坚致富步伐，现就开发性金融支持贫困地区特色小（城）镇建设提出以下意见。</w:t>
      </w:r>
      <w:r w:rsidRPr="00281EC1">
        <w:rPr>
          <w:rFonts w:ascii="微软雅黑" w:eastAsia="微软雅黑" w:hAnsi="微软雅黑" w:cs="宋体" w:hint="eastAsia"/>
          <w:color w:val="000000"/>
          <w:kern w:val="0"/>
          <w:sz w:val="27"/>
          <w:szCs w:val="27"/>
        </w:rPr>
        <w:br/>
        <w:t>    一、总体要求</w:t>
      </w:r>
      <w:r w:rsidRPr="00281EC1">
        <w:rPr>
          <w:rFonts w:ascii="微软雅黑" w:eastAsia="微软雅黑" w:hAnsi="微软雅黑" w:cs="宋体" w:hint="eastAsia"/>
          <w:color w:val="000000"/>
          <w:kern w:val="0"/>
          <w:sz w:val="27"/>
          <w:szCs w:val="27"/>
        </w:rPr>
        <w:br/>
        <w:t>    全面贯彻党的十八大和十八届三中、四中、五中、六中全会精神，统筹推进“五位一体”总体布局和协调推进“四个全面”战略布局，牢固树立和贯彻落实新发展理念，按照扶贫开发与经济社会发展相结合的要求，充分发挥开发性金融作用，推动金融扶贫与产业扶贫紧密衔接，夯实城镇产业基础，完善城镇服务功能，推动城乡一体化发展，通过特色小（城）镇建设带动区域性脱贫，实现特色小（城）镇持续健康发展和农村贫困人口脱贫双重目标，坚决打赢脱贫攻坚战。</w:t>
      </w:r>
      <w:r w:rsidRPr="00281EC1">
        <w:rPr>
          <w:rFonts w:ascii="微软雅黑" w:eastAsia="微软雅黑" w:hAnsi="微软雅黑" w:cs="宋体" w:hint="eastAsia"/>
          <w:color w:val="000000"/>
          <w:kern w:val="0"/>
          <w:sz w:val="27"/>
          <w:szCs w:val="27"/>
        </w:rPr>
        <w:br/>
        <w:t>    ——坚持因地制宜、稳妥推进。从各地实际出发，遵循客观规律，加强统筹协调，科学规范引导特色小（城）镇开发建设与脱贫攻坚有机结合，防止盲目建设、浪费资源、破坏环境。</w:t>
      </w:r>
      <w:r w:rsidRPr="00281EC1">
        <w:rPr>
          <w:rFonts w:ascii="微软雅黑" w:eastAsia="微软雅黑" w:hAnsi="微软雅黑" w:cs="宋体" w:hint="eastAsia"/>
          <w:color w:val="000000"/>
          <w:kern w:val="0"/>
          <w:sz w:val="27"/>
          <w:szCs w:val="27"/>
        </w:rPr>
        <w:br/>
      </w:r>
      <w:r w:rsidRPr="00281EC1">
        <w:rPr>
          <w:rFonts w:ascii="微软雅黑" w:eastAsia="微软雅黑" w:hAnsi="微软雅黑" w:cs="宋体" w:hint="eastAsia"/>
          <w:color w:val="000000"/>
          <w:kern w:val="0"/>
          <w:sz w:val="27"/>
          <w:szCs w:val="27"/>
        </w:rPr>
        <w:lastRenderedPageBreak/>
        <w:t>    ——坚持协同共进、一体发展。统筹谋划脱贫攻坚与特色小（城）镇建设，促进特色产业发展、农民转移就业、易地扶贫搬迁与特色小（城）镇建设相结合，确保群众就业有保障、生活有改善、发展有前景。</w:t>
      </w:r>
      <w:r w:rsidRPr="00281EC1">
        <w:rPr>
          <w:rFonts w:ascii="微软雅黑" w:eastAsia="微软雅黑" w:hAnsi="微软雅黑" w:cs="宋体" w:hint="eastAsia"/>
          <w:color w:val="000000"/>
          <w:kern w:val="0"/>
          <w:sz w:val="27"/>
          <w:szCs w:val="27"/>
        </w:rPr>
        <w:br/>
        <w:t>    ——坚持规划引领、金融支持。根据各地发展实际，精准定位、规划先行，科学布局特色小（城）镇生产、生活、生态空间。通过配套系统性融资规划，合理配置金融资源，为特色小（城）镇建设提供金融支持，着力增强贫困地区自我发展能力，推动区域持续健康发展。</w:t>
      </w:r>
      <w:r w:rsidRPr="00281EC1">
        <w:rPr>
          <w:rFonts w:ascii="微软雅黑" w:eastAsia="微软雅黑" w:hAnsi="微软雅黑" w:cs="宋体" w:hint="eastAsia"/>
          <w:color w:val="000000"/>
          <w:kern w:val="0"/>
          <w:sz w:val="27"/>
          <w:szCs w:val="27"/>
        </w:rPr>
        <w:br/>
        <w:t>    ——坚持主体多元、合力推进。发挥政府在脱贫攻坚战中的主导作用和在特色小（城）镇建设中的引导作用，充分利用开发性金融融资、融智优势，聚集各类资源，整合优势力量，激发市场主体活力，共同支持贫困地区特色小（城）镇建设。</w:t>
      </w:r>
      <w:r w:rsidRPr="00281EC1">
        <w:rPr>
          <w:rFonts w:ascii="微软雅黑" w:eastAsia="微软雅黑" w:hAnsi="微软雅黑" w:cs="宋体" w:hint="eastAsia"/>
          <w:color w:val="000000"/>
          <w:kern w:val="0"/>
          <w:sz w:val="27"/>
          <w:szCs w:val="27"/>
        </w:rPr>
        <w:br/>
      </w:r>
      <w:r w:rsidRPr="00281EC1">
        <w:rPr>
          <w:rFonts w:ascii="微软雅黑" w:eastAsia="微软雅黑" w:hAnsi="微软雅黑" w:cs="宋体" w:hint="eastAsia"/>
          <w:color w:val="000000"/>
          <w:kern w:val="0"/>
          <w:sz w:val="27"/>
          <w:szCs w:val="27"/>
        </w:rPr>
        <w:br/>
        <w:t>    ——坚持改革创新、务求实效。用改革的办法和创新的精神推进特色小（城）镇建设，完善建设模式、管理方式和服务手段，加强金融组织创新、产品创新和服务创新，使金融资源切实服务小（城）镇发展，有效支持脱贫攻坚。</w:t>
      </w:r>
      <w:r w:rsidRPr="00281EC1">
        <w:rPr>
          <w:rFonts w:ascii="微软雅黑" w:eastAsia="微软雅黑" w:hAnsi="微软雅黑" w:cs="宋体" w:hint="eastAsia"/>
          <w:color w:val="000000"/>
          <w:kern w:val="0"/>
          <w:sz w:val="27"/>
          <w:szCs w:val="27"/>
        </w:rPr>
        <w:br/>
        <w:t>    二、主要任务</w:t>
      </w:r>
      <w:r w:rsidRPr="00281EC1">
        <w:rPr>
          <w:rFonts w:ascii="微软雅黑" w:eastAsia="微软雅黑" w:hAnsi="微软雅黑" w:cs="宋体" w:hint="eastAsia"/>
          <w:color w:val="000000"/>
          <w:kern w:val="0"/>
          <w:sz w:val="27"/>
          <w:szCs w:val="27"/>
        </w:rPr>
        <w:br/>
        <w:t>    （一）加强规划引导。加强对特色小（城）镇发展的指导，推动地方政府结合经济社会发展规划，编制特色小（城）镇发展专项规划，明确发展目标、建设任务和工作进度。开发银行各分行积极参与特色小（城）镇规划编制工作，统筹考虑财税、金融、市场资金等方面因素，做好系统性融资规划和融资顾问工作，明确支持重点、融资方案和融资渠道，</w:t>
      </w:r>
      <w:r w:rsidRPr="00281EC1">
        <w:rPr>
          <w:rFonts w:ascii="微软雅黑" w:eastAsia="微软雅黑" w:hAnsi="微软雅黑" w:cs="宋体" w:hint="eastAsia"/>
          <w:color w:val="000000"/>
          <w:kern w:val="0"/>
          <w:sz w:val="27"/>
          <w:szCs w:val="27"/>
        </w:rPr>
        <w:lastRenderedPageBreak/>
        <w:t>推动规划落地实施。各级发展改革部门要加强与开发银行各分行、特色小（城）镇所在地方政府的沟通联系，积极支持系统性融资规划编制工作。</w:t>
      </w:r>
      <w:r w:rsidRPr="00281EC1">
        <w:rPr>
          <w:rFonts w:ascii="微软雅黑" w:eastAsia="微软雅黑" w:hAnsi="微软雅黑" w:cs="宋体" w:hint="eastAsia"/>
          <w:color w:val="000000"/>
          <w:kern w:val="0"/>
          <w:sz w:val="27"/>
          <w:szCs w:val="27"/>
        </w:rPr>
        <w:br/>
        <w:t>    （二）支持发展特色产业。一是各级发展改革部门和开发银行各分行要加强协调配合，根据地方资源禀赋和产业优势，探索符合当地实际的农村产业融合发展道路，不断延伸农业产业链、提升价值链、拓展农业多种功能，推进多种形式的产城融合，实现农业现代化与新型城镇化协同发展。二是开发银行各分行要运用“四台一会”（管理平台、借款平台、担保平台、公示平台和信用协会）贷款模式，推动建立风险分担和补偿机制，以批发的方式融资支持龙头企业、中小微企业、农民合作组织以及返乡农民工等各类创业者发展特色优势产业，带动周边广大农户，特别是贫困户全面融入产业发展。三是在特色小（城）镇产业发展中积极推动开展土地、资金等多种形式的股份合作，在有条件的地区，探索将“三资”（农村集体资金、资产和资源）、承包土地经营权、农民住房财产权和集体收益分配权资本化，建立和完善利益联结机制，保障贫困人口在产业发展中获得合理、稳定的收益，并实现城乡劳动力、土地、资本和创新要素高效配置。</w:t>
      </w:r>
      <w:r w:rsidRPr="00281EC1">
        <w:rPr>
          <w:rFonts w:ascii="微软雅黑" w:eastAsia="微软雅黑" w:hAnsi="微软雅黑" w:cs="宋体" w:hint="eastAsia"/>
          <w:color w:val="000000"/>
          <w:kern w:val="0"/>
          <w:sz w:val="27"/>
          <w:szCs w:val="27"/>
        </w:rPr>
        <w:br/>
        <w:t>    （三）补齐特色小（城）镇发展短板。一是支持基础设施、公共服务设施和生态环境建设，包括但不限于土地及房屋的征收、拆迁和补偿；安置房建设或货币化安置；水网、电网、路网、信息网、供气、供热、地下综合管廊等公共基础设施建设；污水处理、垃圾处理、园林绿化、水体生态系统与水环境治理等环境设施建设以及生态修复工程；科技馆、</w:t>
      </w:r>
      <w:r w:rsidRPr="00281EC1">
        <w:rPr>
          <w:rFonts w:ascii="微软雅黑" w:eastAsia="微软雅黑" w:hAnsi="微软雅黑" w:cs="宋体" w:hint="eastAsia"/>
          <w:color w:val="000000"/>
          <w:kern w:val="0"/>
          <w:sz w:val="27"/>
          <w:szCs w:val="27"/>
        </w:rPr>
        <w:lastRenderedPageBreak/>
        <w:t>学校、文化馆、医院、体育馆等科教文卫设施建设；小型集贸市场、农产品交易市场、生活超市等便民商业设施建设；其他基础设施、公共服务设施以及环境设施建设。二是支持各类产业发展的配套设施建设，包括但不限于标准厂房、孵化园、众创空间等生产平台；旅游休闲、商贸物流、人才公寓等服务平台建设；其他促进特色产业发展的配套基础设施建设。</w:t>
      </w:r>
      <w:r w:rsidRPr="00281EC1">
        <w:rPr>
          <w:rFonts w:ascii="微软雅黑" w:eastAsia="微软雅黑" w:hAnsi="微软雅黑" w:cs="宋体" w:hint="eastAsia"/>
          <w:color w:val="000000"/>
          <w:kern w:val="0"/>
          <w:sz w:val="27"/>
          <w:szCs w:val="27"/>
        </w:rPr>
        <w:br/>
        <w:t>    （四）积极开展试点示范。结合贫困地区发展实际，因地制宜开展特色小（城）镇助力脱贫攻坚建设试点。对试点单位优先编制融资规划，优先安排贷款规模，优先给予政策、资金等方面的支持，鼓励各地先行先试，着力打造一批资源禀赋丰富、区位环境良好、历史文化浓厚、产业集聚发达、脱贫攻坚效果好的特色小（城）镇，为其他地区提供经验借鉴。</w:t>
      </w:r>
      <w:r w:rsidRPr="00281EC1">
        <w:rPr>
          <w:rFonts w:ascii="微软雅黑" w:eastAsia="微软雅黑" w:hAnsi="微软雅黑" w:cs="宋体" w:hint="eastAsia"/>
          <w:color w:val="000000"/>
          <w:kern w:val="0"/>
          <w:sz w:val="27"/>
          <w:szCs w:val="27"/>
        </w:rPr>
        <w:br/>
        <w:t>    （五）加大金融支持力度。开发银行加大对特许经营、政府购买服务等模式的信贷支持力度，特别是通过探索多种类型的PPP模式，引入大型企业参与投资，引导社会资本广泛参与。发挥开发银行“投资、贷款、债券、租赁、证券、基金”综合服务功能和作用，在设立基金、发行债券、资产证券化等方面提供财务顾问服务。发挥资本市场在脱贫攻坚中的积极作用，盘活贫困地区特色资产资源，为特色小（城）镇建设提供多元化金融支持。各级发展改革部门和开发银行各分行要共同推动地方政府完善担保体系，建立风险补偿机制，改善当地金融生态环境。</w:t>
      </w:r>
      <w:r w:rsidRPr="00281EC1">
        <w:rPr>
          <w:rFonts w:ascii="微软雅黑" w:eastAsia="微软雅黑" w:hAnsi="微软雅黑" w:cs="宋体" w:hint="eastAsia"/>
          <w:color w:val="000000"/>
          <w:kern w:val="0"/>
          <w:sz w:val="27"/>
          <w:szCs w:val="27"/>
        </w:rPr>
        <w:br/>
        <w:t>    （六）强化人才支撑。加大对贫困地区特色小（城）镇建设的智力支持力度，开发银行扶贫金融专员要把特色小（城）镇作为金融服务的重</w:t>
      </w:r>
      <w:r w:rsidRPr="00281EC1">
        <w:rPr>
          <w:rFonts w:ascii="微软雅黑" w:eastAsia="微软雅黑" w:hAnsi="微软雅黑" w:cs="宋体" w:hint="eastAsia"/>
          <w:color w:val="000000"/>
          <w:kern w:val="0"/>
          <w:sz w:val="27"/>
          <w:szCs w:val="27"/>
        </w:rPr>
        <w:lastRenderedPageBreak/>
        <w:t>要内容，帮助派驻地（市、州）以及对口贫困县区域内的特色小（城）镇引智、引商、引技、引资，着力解决缺人才、缺技术、缺资金等突出问题。以“开发性金融支持脱贫攻坚地方干部培训班”为平台，为贫困地区干部开展特色小（城）镇专题培训，帮助正确把握政策内涵，增强运用开发性金融手段推动特色小（城）镇建设、促进脱贫攻坚的能力。</w:t>
      </w:r>
      <w:r w:rsidRPr="00281EC1">
        <w:rPr>
          <w:rFonts w:ascii="微软雅黑" w:eastAsia="微软雅黑" w:hAnsi="微软雅黑" w:cs="宋体" w:hint="eastAsia"/>
          <w:color w:val="000000"/>
          <w:kern w:val="0"/>
          <w:sz w:val="27"/>
          <w:szCs w:val="27"/>
        </w:rPr>
        <w:br/>
        <w:t>    （七）建立长效合作机制。国家发展改革委和开发银行围绕特色小（城）镇建设进一步深化合作，建立定期会商机制，加大工作推动力度。各级发展改革部门和开发银行各分行要密切沟通，共同研究制定当地特色小（城）镇建设工作方案，确定重点支持领域，设计融资模式；建立特色小（城）镇重点项目批量开发推荐机制，形成项目储备库；协调解决特色小（城）镇建设过程中的困难和问题，将合作落到实处。</w:t>
      </w:r>
      <w:r w:rsidRPr="00281EC1">
        <w:rPr>
          <w:rFonts w:ascii="微软雅黑" w:eastAsia="微软雅黑" w:hAnsi="微软雅黑" w:cs="宋体" w:hint="eastAsia"/>
          <w:color w:val="000000"/>
          <w:kern w:val="0"/>
          <w:sz w:val="27"/>
          <w:szCs w:val="27"/>
        </w:rPr>
        <w:br/>
        <w:t>    各级发展改革部门和开发银行各分行要支持贫困地区特色小（城）镇建设促进脱贫攻坚，加强合作机制创新、工作制度创新和发展模式创新，积极探索、勇于实践，确保特色小（城）镇建设取得新成效，打赢脱贫攻坚战。</w:t>
      </w:r>
    </w:p>
    <w:p w:rsidR="00281EC1" w:rsidRPr="00281EC1" w:rsidRDefault="00281EC1" w:rsidP="00281EC1">
      <w:pPr>
        <w:widowControl/>
        <w:shd w:val="clear" w:color="auto" w:fill="FFFFFF"/>
        <w:spacing w:before="255" w:after="255"/>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w:t>
      </w:r>
    </w:p>
    <w:p w:rsidR="00281EC1" w:rsidRPr="00281EC1" w:rsidRDefault="00281EC1" w:rsidP="00281EC1">
      <w:pPr>
        <w:widowControl/>
        <w:shd w:val="clear" w:color="auto" w:fill="FFFFFF"/>
        <w:jc w:val="left"/>
        <w:rPr>
          <w:rFonts w:ascii="微软雅黑" w:eastAsia="微软雅黑" w:hAnsi="微软雅黑" w:cs="宋体"/>
          <w:color w:val="000000"/>
          <w:kern w:val="0"/>
          <w:sz w:val="27"/>
          <w:szCs w:val="27"/>
        </w:rPr>
      </w:pPr>
      <w:r w:rsidRPr="00281EC1">
        <w:rPr>
          <w:rFonts w:ascii="微软雅黑" w:eastAsia="微软雅黑" w:hAnsi="微软雅黑" w:cs="宋体" w:hint="eastAsia"/>
          <w:color w:val="000000"/>
          <w:kern w:val="0"/>
          <w:sz w:val="27"/>
          <w:szCs w:val="27"/>
        </w:rPr>
        <w:t>                                                         </w:t>
      </w:r>
      <w:r>
        <w:rPr>
          <w:rFonts w:ascii="微软雅黑" w:eastAsia="微软雅黑" w:hAnsi="微软雅黑" w:cs="宋体" w:hint="eastAsia"/>
          <w:color w:val="000000"/>
          <w:kern w:val="0"/>
          <w:sz w:val="27"/>
          <w:szCs w:val="27"/>
        </w:rPr>
        <w:t>                   </w:t>
      </w:r>
      <w:r w:rsidRPr="00281EC1">
        <w:rPr>
          <w:rFonts w:ascii="微软雅黑" w:eastAsia="微软雅黑" w:hAnsi="微软雅黑" w:cs="宋体" w:hint="eastAsia"/>
          <w:color w:val="000000"/>
          <w:kern w:val="0"/>
          <w:sz w:val="27"/>
          <w:szCs w:val="27"/>
        </w:rPr>
        <w:t>   国家发展改革委</w:t>
      </w:r>
      <w:r w:rsidRPr="00281EC1">
        <w:rPr>
          <w:rFonts w:ascii="微软雅黑" w:eastAsia="微软雅黑" w:hAnsi="微软雅黑" w:cs="宋体" w:hint="eastAsia"/>
          <w:color w:val="000000"/>
          <w:kern w:val="0"/>
          <w:sz w:val="27"/>
          <w:szCs w:val="27"/>
        </w:rPr>
        <w:br/>
        <w:t>                                                         </w:t>
      </w:r>
      <w:r>
        <w:rPr>
          <w:rFonts w:ascii="微软雅黑" w:eastAsia="微软雅黑" w:hAnsi="微软雅黑" w:cs="宋体" w:hint="eastAsia"/>
          <w:color w:val="000000"/>
          <w:kern w:val="0"/>
          <w:sz w:val="27"/>
          <w:szCs w:val="27"/>
        </w:rPr>
        <w:t>                      </w:t>
      </w:r>
      <w:r w:rsidRPr="00281EC1">
        <w:rPr>
          <w:rFonts w:ascii="微软雅黑" w:eastAsia="微软雅黑" w:hAnsi="微软雅黑" w:cs="宋体" w:hint="eastAsia"/>
          <w:color w:val="000000"/>
          <w:kern w:val="0"/>
          <w:sz w:val="27"/>
          <w:szCs w:val="27"/>
        </w:rPr>
        <w:t>    国家开发银行</w:t>
      </w:r>
      <w:r w:rsidRPr="00281EC1">
        <w:rPr>
          <w:rFonts w:ascii="微软雅黑" w:eastAsia="微软雅黑" w:hAnsi="微软雅黑" w:cs="宋体" w:hint="eastAsia"/>
          <w:color w:val="000000"/>
          <w:kern w:val="0"/>
          <w:sz w:val="27"/>
          <w:szCs w:val="27"/>
        </w:rPr>
        <w:br/>
        <w:t>                                                 </w:t>
      </w:r>
      <w:r>
        <w:rPr>
          <w:rFonts w:ascii="微软雅黑" w:eastAsia="微软雅黑" w:hAnsi="微软雅黑" w:cs="宋体" w:hint="eastAsia"/>
          <w:color w:val="000000"/>
          <w:kern w:val="0"/>
          <w:sz w:val="27"/>
          <w:szCs w:val="27"/>
        </w:rPr>
        <w:t>                </w:t>
      </w:r>
      <w:r w:rsidRPr="00281EC1">
        <w:rPr>
          <w:rFonts w:ascii="微软雅黑" w:eastAsia="微软雅黑" w:hAnsi="微软雅黑" w:cs="宋体" w:hint="eastAsia"/>
          <w:color w:val="000000"/>
          <w:kern w:val="0"/>
          <w:sz w:val="27"/>
          <w:szCs w:val="27"/>
        </w:rPr>
        <w:t>           2017年1月13日</w:t>
      </w:r>
    </w:p>
    <w:p w:rsidR="00281EC1" w:rsidRDefault="00281EC1" w:rsidP="00281EC1"/>
    <w:p w:rsidR="00281EC1" w:rsidRDefault="00281EC1" w:rsidP="00281EC1"/>
    <w:p w:rsidR="00281EC1" w:rsidRDefault="00281EC1" w:rsidP="00281EC1"/>
    <w:p w:rsidR="00281EC1" w:rsidRDefault="00674278" w:rsidP="00674278">
      <w:pPr>
        <w:pStyle w:val="3"/>
        <w:jc w:val="center"/>
        <w:rPr>
          <w:sz w:val="30"/>
          <w:szCs w:val="30"/>
        </w:rPr>
      </w:pPr>
      <w:bookmarkStart w:id="113" w:name="_Toc12864264"/>
      <w:r w:rsidRPr="00674278">
        <w:rPr>
          <w:rFonts w:hint="eastAsia"/>
          <w:sz w:val="30"/>
          <w:szCs w:val="30"/>
        </w:rPr>
        <w:lastRenderedPageBreak/>
        <w:t>住房城乡建设部</w:t>
      </w:r>
      <w:r w:rsidRPr="00674278">
        <w:rPr>
          <w:rFonts w:hint="eastAsia"/>
          <w:sz w:val="30"/>
          <w:szCs w:val="30"/>
        </w:rPr>
        <w:t xml:space="preserve"> </w:t>
      </w:r>
      <w:r w:rsidRPr="00674278">
        <w:rPr>
          <w:rFonts w:hint="eastAsia"/>
          <w:sz w:val="30"/>
          <w:szCs w:val="30"/>
        </w:rPr>
        <w:t>中国农业发展银行关于推进政策性金融支持小镇建设的通知（建村〔</w:t>
      </w:r>
      <w:r w:rsidRPr="00674278">
        <w:rPr>
          <w:rFonts w:hint="eastAsia"/>
          <w:sz w:val="30"/>
          <w:szCs w:val="30"/>
        </w:rPr>
        <w:t>2016</w:t>
      </w:r>
      <w:r w:rsidRPr="00674278">
        <w:rPr>
          <w:rFonts w:hint="eastAsia"/>
          <w:sz w:val="30"/>
          <w:szCs w:val="30"/>
        </w:rPr>
        <w:t>〕</w:t>
      </w:r>
      <w:r w:rsidRPr="00674278">
        <w:rPr>
          <w:rFonts w:hint="eastAsia"/>
          <w:sz w:val="30"/>
          <w:szCs w:val="30"/>
        </w:rPr>
        <w:t>220</w:t>
      </w:r>
      <w:r w:rsidRPr="00674278">
        <w:rPr>
          <w:rFonts w:hint="eastAsia"/>
          <w:sz w:val="30"/>
          <w:szCs w:val="30"/>
        </w:rPr>
        <w:t>号）</w:t>
      </w:r>
      <w:bookmarkEnd w:id="113"/>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各省、自治区、直辖市住房城乡建设厅（建委）、北京市农委、上海市规划和国土资源管理局，中国农业发展银行各省、自治区、直辖市分行，总行营业部：</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为贯彻落实党中央、国务院关于推进特色小镇、小城镇建设的精神，切实推进政策性金融资金支持特色小镇、小城镇建设，现就相关事项通知如下：</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一、充分发挥政策性金融的作用</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小城镇是新型城镇化的重要载体，是促进城乡协调发展最直接最有效的途径。各地要充分认识培育特色小镇和推动小城镇建设工作的重要意义，发挥政策性信贷资金对小城镇建设发展的重要作用，做好中长期政策性贷款的申请和使用，不断加大小城镇建设的信贷支持力度，切实利用政策性金融支持，全面推动小城镇建设发展。</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二、明确支持范围</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（一）支持范围。</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1．支持以转移农业人口、提升小城镇公共服务水平和提高承载能力为目的的基础设施和公共服务设施建设。主要包括：土地及房屋的征收、拆迁和补偿；安置房建设或货币化安置；水网、电网、路网、信息网、供气、供热、地下综合管廊等公共基础设施建设；污水处理、垃圾处理、园林绿化、水体生态系统与水环境治理等环境设施建设；学校、</w:t>
      </w:r>
      <w:r w:rsidRPr="00586331">
        <w:rPr>
          <w:rFonts w:ascii="微软雅黑" w:eastAsia="微软雅黑" w:hAnsi="微软雅黑" w:cs="宋体" w:hint="eastAsia"/>
          <w:color w:val="000000"/>
          <w:kern w:val="0"/>
          <w:sz w:val="27"/>
          <w:szCs w:val="27"/>
        </w:rPr>
        <w:lastRenderedPageBreak/>
        <w:t>医院、体育馆等文化教育卫生设施建设；小型集贸市场、农产品交易市场、生活超市等便民商业设施建设；其他基础设施和公共服务设施建设。</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2．为促进小城镇特色产业发展提供平台支撑的配套设施建设。主要包括：标准厂房、孵化园、众创空间等生产平台建设；博物馆、展览馆、科技馆、文化交流中心、民俗传承基地等展示平台建设；旅游休闲、商贸物流、人才公寓等服务平台建设；其他促进特色产业发展的配套基础设施建设。</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（二）优先支持贫困地区。</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中国农业发展银行要将小城镇建设作为信贷支持的重点领域，以贫困地区小城镇建设作为优先支持对象，统筹调配信贷规模，保障融资需求。开辟办贷绿色通道，对相关项目优先受理、优先审批,在符合贷款条件的情况下，优先给予贷款支持。</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三、建立贷款项目库</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地方各级住房城乡建设部门要加快推进小城镇建设项目培育工作，积极与中国农业发展银行各级机构对接，共同研究融资方案，落实建设承贷主体。申请政策性金融支持的小城镇需要编制小城镇近期建设规划和建设项目实施方案，经县级人民政府批准后，向中国农业发展银行相应分支机构提出建设项目和资金需求。各省级住房城乡建设部门、中国农业发展银行省级分行应编制本省（区、市）本年度已支持情况和下一年度申请报告（包括项目清单），并于每年12月底前提交住房城乡建设部、中国农业发展银行总行，同时将相关信息录入小城镇建设贷款项目库（http://www.czjs.mohurd.gov.cn）。</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lastRenderedPageBreak/>
        <w:t xml:space="preserve">　　四、加强项目管理</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住房城乡建设部负责组织、推动全国小城镇政策性金融支持工作，建立项目库，开展指导和检查。中国农业发展银行将进一步争取国家优惠政策，提供中长期、低成本的信贷资金。</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省级住房城乡建设部门、中国农业发展银行省级分行要建立沟通协调机制，协调县（市）申请中国农业银行政策性贷款，解决相关问题。县级住房城乡建设部门要切实掌握政策性信贷资金申请、使用等相关规定，组织协调小城镇政策性贷款申请工作，并确保资金使用规范。</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中国农业发展银行各分行要积极配合各级住房城乡建设部门工作，普及政策性贷款知识，加大宣传力度。各分行要积极运用政府购买服务和采购、政府和社会资本合作（PPP）等融资模式，为小城镇建设提供综合性金融服务，并联合其他银行、保险公司等金融机构以银团贷款、委托贷款等方式，努力拓宽小城镇建设的融资渠道。对符合条件的小城镇建设实施主体提供重点项目建设基金，用于补充项目资本金不足部分。在风险可控、商业可持续的前提下，小城镇建设项目涉及的特许经营权、收费权和政府购买服务协议预期收益等可作为中国农业发展银行贷款的质押担保。</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通知执行过程中如有问题和建议，请及时与住房城乡建设部和中国农业发展银行总行联系。</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住房城乡建设部村镇建设司　林岚岚、贾一石</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联系电话：010-58934431</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中国农业发展银行基础设施部　周斌、傅卫华</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lastRenderedPageBreak/>
        <w:t xml:space="preserve">　　联系电话：010-68082275</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w:t>
      </w:r>
    </w:p>
    <w:p w:rsidR="00586331" w:rsidRPr="00586331" w:rsidRDefault="00586331" w:rsidP="00586331">
      <w:pPr>
        <w:widowControl/>
        <w:spacing w:line="360" w:lineRule="atLeast"/>
        <w:jc w:val="left"/>
        <w:rPr>
          <w:rFonts w:ascii="微软雅黑" w:eastAsia="微软雅黑" w:hAnsi="微软雅黑" w:cs="宋体"/>
          <w:color w:val="000000"/>
          <w:kern w:val="0"/>
          <w:sz w:val="27"/>
          <w:szCs w:val="27"/>
        </w:rPr>
      </w:pPr>
      <w:r w:rsidRPr="00586331">
        <w:rPr>
          <w:rFonts w:ascii="微软雅黑" w:eastAsia="微软雅黑" w:hAnsi="微软雅黑" w:cs="宋体" w:hint="eastAsia"/>
          <w:color w:val="000000"/>
          <w:kern w:val="0"/>
          <w:sz w:val="27"/>
          <w:szCs w:val="27"/>
        </w:rPr>
        <w:t xml:space="preserve">　　　　　　　　　　　　　　　　　　　　　　　　　　　　　　　　　　　　　　　　　中华人民共和国住房和城乡建设部 </w:t>
      </w:r>
      <w:r w:rsidRPr="00586331">
        <w:rPr>
          <w:rFonts w:ascii="微软雅黑" w:eastAsia="微软雅黑" w:hAnsi="微软雅黑" w:cs="宋体" w:hint="eastAsia"/>
          <w:color w:val="000000"/>
          <w:kern w:val="0"/>
          <w:sz w:val="27"/>
          <w:szCs w:val="27"/>
        </w:rPr>
        <w:br/>
        <w:t xml:space="preserve">　　　　　　　　　　　　　　　　　　　　　　　　　　　　　　　　　　　　　　　　　　　　 中国农业发展银行</w:t>
      </w:r>
      <w:r w:rsidRPr="00586331">
        <w:rPr>
          <w:rFonts w:ascii="微软雅黑" w:eastAsia="微软雅黑" w:hAnsi="微软雅黑" w:cs="宋体" w:hint="eastAsia"/>
          <w:color w:val="000000"/>
          <w:kern w:val="0"/>
          <w:sz w:val="27"/>
          <w:szCs w:val="27"/>
        </w:rPr>
        <w:br/>
        <w:t xml:space="preserve">　　　　　　　　　　　　　　　　　　　　　　　　　　　　　　　　　　　　　　　　　　　　 2016年10月10日</w:t>
      </w:r>
    </w:p>
    <w:p w:rsidR="00674278" w:rsidRDefault="00674278"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586331" w:rsidP="00674278"/>
    <w:p w:rsidR="00586331" w:rsidRDefault="002A7B09" w:rsidP="002A7B09">
      <w:pPr>
        <w:pStyle w:val="3"/>
        <w:jc w:val="center"/>
        <w:rPr>
          <w:sz w:val="30"/>
          <w:szCs w:val="30"/>
        </w:rPr>
      </w:pPr>
      <w:bookmarkStart w:id="114" w:name="_Toc12864265"/>
      <w:r w:rsidRPr="002A7B09">
        <w:rPr>
          <w:rFonts w:hint="eastAsia"/>
          <w:sz w:val="30"/>
          <w:szCs w:val="30"/>
        </w:rPr>
        <w:lastRenderedPageBreak/>
        <w:t>国家发展改革委关于加快美丽特色小（城）镇建设的指导意见（发改规划〔</w:t>
      </w:r>
      <w:r w:rsidRPr="002A7B09">
        <w:rPr>
          <w:rFonts w:hint="eastAsia"/>
          <w:sz w:val="30"/>
          <w:szCs w:val="30"/>
        </w:rPr>
        <w:t>2016</w:t>
      </w:r>
      <w:r w:rsidRPr="002A7B09">
        <w:rPr>
          <w:rFonts w:hint="eastAsia"/>
          <w:sz w:val="30"/>
          <w:szCs w:val="30"/>
        </w:rPr>
        <w:t>〕</w:t>
      </w:r>
      <w:r w:rsidRPr="002A7B09">
        <w:rPr>
          <w:rFonts w:hint="eastAsia"/>
          <w:sz w:val="30"/>
          <w:szCs w:val="30"/>
        </w:rPr>
        <w:t>2125</w:t>
      </w:r>
      <w:r w:rsidRPr="002A7B09">
        <w:rPr>
          <w:rFonts w:hint="eastAsia"/>
          <w:sz w:val="30"/>
          <w:szCs w:val="30"/>
        </w:rPr>
        <w:t>号）</w:t>
      </w:r>
      <w:bookmarkEnd w:id="114"/>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各省、自治区、直辖市、计划单列市发展改革委，新疆生产建设兵团发展改革委：</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特色小（城）镇包括特色小镇、小城镇两种形态。特色小镇主要指聚焦特色产业和新兴产业，集聚发展要素，不同于行政建制镇和产业园区的创新创业平台。特色小城镇是指以传统行政区划为单元，特色产业鲜明、具有一定人口和经济规模的建制镇。特色小镇和小城镇相得益彰、互为支撑。发展美丽特色小（城）镇是推进供给侧结构性改革的重要平台，是深入推进新型城镇化的重要抓手，有利于推动经济转型升级和发展动能转换，有利于促进大中小城市和小城镇协调发展，有利于充分发挥城镇化对新农村建设的辐射带动作用。为深入贯彻落实习近平总书记、李克强总理等党中央、国务院领导同志关于特色小镇、小城镇建设的重要批示指示精神，现就加快美丽特色小（城）镇建设提出如下意见。</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一、总体要求</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全面贯彻党的十八大和十八届三中、四中、五中全会精神，深入学习贯彻习近平总书记系列重要讲话精神，牢固树立和贯彻落实创新、协调、绿色、开放、共享的发展理念，按照党中央、国务院的部署，深入推进供给侧结构性改革，以人为本、因地制宜、突出特色、创新机制，夯实城镇产业基础，完善城镇服务功能，优化城镇生态环境，提升城镇发展品质，建设美丽特色新型小（城）镇，有机对接美丽乡村建设，促进城乡发展一体化。</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——坚持创新探索。创新美丽特色小（城）镇的思路、方法、机制，着力培育供给侧小镇经济，防止“新瓶装旧酒”“穿新鞋走老路”，努力走出一条特色鲜明、产城融合、惠及群众的新型小城镇之路。</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——坚持因地制宜。从各地实际出发，遵循客观规律，挖掘特色优势，体现区域差异性，提倡形态多样性，彰显小（城）镇独特魅力，防止照搬照抄、“东施效颦”、一哄而上。</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——坚持产业建镇。根据区域要素禀赋和比较优势，挖掘本地最有基础、最具潜力、最能成长的特色产业，做精做强主导特色产业，打造具有持续竞争力和可持续发展特征的独特产业生态，防止千镇一面。</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——坚持以人为本。围绕人的城镇化，统筹生产、生活、生态空间布局，完善城镇功能，补齐城镇基础设施、公共服务、生态环境短板，打造宜居宜业环境，提高人民群众获得感和幸福感，防止形象工程。</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市场主导。按照政府引导、企业主体、市场化运作的要求，创新建设模式、管理方式和服务手段，提高多元化主体共同推动美丽特色小（城）镇发展的积极性。发挥好政府制定规划政策、提供公共服务等作用，防止大包大揽。</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二、分类施策，探索城镇发展新路径</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总结推广浙江等地特色小镇发展模式，立足产业“特而强”、功能“聚而合”、形态“小而美”、机制“新而活”，将创新性供给与个性化需求有效对接，打造创新创业发展平台和新型城镇化有效载体。</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按照控制数量、提高质量，节约用地、体现特色的要求，推动小（城）镇发展与疏解大城市中心城区功能相结合、与特色产业发展相结合、与</w:t>
      </w:r>
      <w:r w:rsidRPr="002A7B09">
        <w:rPr>
          <w:rFonts w:ascii="微软雅黑" w:eastAsia="微软雅黑" w:hAnsi="微软雅黑" w:cs="宋体" w:hint="eastAsia"/>
          <w:color w:val="000000"/>
          <w:kern w:val="0"/>
          <w:sz w:val="27"/>
          <w:szCs w:val="27"/>
        </w:rPr>
        <w:lastRenderedPageBreak/>
        <w:t>服务“三农”相结合。大城市周边的重点镇，要加强与城市发展的统筹规划与功能配套，逐步发展成为卫星城。具有特色资源、区位优势的小城镇，要通过规划引导、市场运作，培育成为休闲旅游、商贸物流、智能制造、科技教育、民俗文化传承的专业特色镇。远离中心城市的小城镇，要完善基础设施和公共服务，发展成为服务农村、带动周边的综合性小城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统筹地域、功能、特色三大重点，以镇区常住人口5万以上的特大镇、镇区常住人口3万以上的专业特色镇为重点，兼顾多类型多形态的特色小镇，因地制宜建设美丽特色小（城）镇。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三、突出特色，打造产业发展新平台</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产业是小城镇发展的生命力，特色是产业发展的竞争力。要立足资源禀赋、区位环境、历史文化、产业集聚等特色，加快发展特色优势主导产业，延伸产业链、提升价值链，促进产业跨界融合发展，在差异定位和领域细分中构建小镇大产业，扩大就业，集聚人口，实现特色产业立镇、强镇、富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有条件的小城镇特别是中心城市和都市圈周边的小城镇，要积极吸引高端要素集聚，发展先进制造业和现代服务业。鼓励外出农民工回乡创业定居。强化校企合作、产研融合、产教融合，积极依托职业院校、成人教育学院、继续教育学院等院校建设就业技能培训基地，培育特色产业发展所需各类人才。</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四、创业创新，培育经济发展新动能</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创新是小城镇持续健康发展的根本动力。要发挥小城镇创业创新成本低、进入门槛低、各项束缚少、生态环境好的优势，打造大众创业、万众创新的有效平台和载体。鼓励特色小（城）镇发展面向大众、服务小微企业的低成本、便利化、开放式服务平台，构建富有活力的创业创新生态圈，集聚创业者、风投资本、孵化器等高端要素，促进产业链、创新链、人才链的耦合；依托互联网拓宽市场资源、社会需求与创业创新对接通道，推进专业空间、网络平台和企业内部众创，推动新技术、新产业、新业态蓬勃发展。</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营造吸引各类人才、激发企业家活力的创新环境，为初创期、中小微企业和创业者提供便利、完善的“双创”服务；鼓励企业家构筑创新平台、集聚创新资源；深化投资便利化、商事仲裁、负面清单管理等改革创新，打造有利于创新创业的营商环境，推动形成一批集聚高端要素、新兴产业和现代服务业特色鲜明、富有活力和竞争力的新型小城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五、完善功能，强化基础设施新支撑</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便捷完善的基础设施是小城镇集聚产业的基础条件。要按照适度超前、综合配套、集约利用的原则，加强小城镇道路、供水、供电、通信、污水垃圾处理、物流等基础设施建设。建设高速通畅、质优价廉、服务便捷的宽带网络基础设施和服务设施，以人为本推动信息惠民，加强小城镇信息基础设施建设，加速光纤入户进程，建设智慧小镇。加强步行和自行车等慢行交通设施建设，做好慢行交通系统与公共交通系统的衔接。</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强化城镇与交通干线、交通枢纽城市的连接，提高公路技术等级和通行能力，改善交通条件，提升服务水平。推进大城市市域（郊）铁路发展，形成多层次轨道交通骨干网络，高效衔接大中小城市和小城镇，促进互联互通。鼓励综合开发，形成集交通、商业、休闲等为一体的开放式小城镇功能区。推进公共停车场建设。鼓励建设开放式住宅小区，提升微循环能力。鼓励有条件的小城镇开发利用地下空间，提高土地利用效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六、提升质量，增加公共服务新供给</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完善的公共服务特别是较高质量的教育医疗资源供给是增强小城镇人口集聚能力的重要因素。要推动公共服务从按行政等级配置向按常住人口规模配置转变，根据城镇常住人口增长趋势和空间分布，统筹布局建设学校、医疗卫生机构、文化体育场所等公共服务设施，大力提高教育卫生等公共服务的质量和水平，使群众在特色小（城）镇能够享受更有质量的教育、医疗等公共服务。要聚焦居民日常需求，提升社区服务功能，加快构建便捷“生活圈”、完善“服务圈”和繁荣“商业圈”。</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镇区人口10万以上的特大镇要按同等城市标准配置教育和医疗资源，其他城镇要不断缩小与城市基本公共服务差距。实施医疗卫生服务能力提升计划，参照县级医院水平提高硬件设施和诊疗水平，鼓励在有条件的小城镇布局三级医院。大力提高教育质量，加快推进义务教育学校标准化建设，推动市县知名中小学和城镇中小学联合办学，扩大优质教育资源覆盖面。</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七、绿色引领，建设美丽宜居新城镇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优美宜居的生态环境是人民群众对城镇生活的新期待。要牢固树立“绿水青山就是金山银山”的发展理念，保护城镇特色景观资源，加强环境综合整治，构建生态网络。深入开展大气污染、水污染、土壤污染防治行动，溯源倒逼、系统治理，带动城镇生态环境质量全面改善。有机协调城镇内外绿地、河湖、林地、耕地，推动生态保护与旅游发展互促共融、新型城镇化与旅游业有机结合，打造宜居宜业宜游的优美环境。鼓励有条件的小城镇按照不低于3A级景区的标准规划建设特色旅游景区，将美丽资源转化为“美丽经济”。</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加强历史文化名城名镇名村、历史文化街区、民族风情小镇等的保护，保护独特风貌，挖掘文化内涵，彰显乡愁特色，建设有历史记忆、文化脉络、地域风貌、民族特点的美丽小（城）镇。</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八、主体多元，打造共建共享新模式</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创新社会治理模式是建设美丽特色小（城）镇的重要内容。要统筹政府、社会、市民三大主体积极性，推动政府、社会、市民同心同向行动。充分发挥社会力量作用，最大限度激发市场主体活力和企业家创造力，鼓励企业、其他社会组织和市民积极参与城镇投资、建设、运营和管理，成为美丽特色小（城）镇建设的主力军。积极调动市民参与美丽特色小（城）镇建设热情，促进其致富增收，让发展成果惠及广大群众。逐步形成多方主体参与、良性互动的现代城镇治理模式。</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政府主要负责提供美丽特色小（城）镇制度供给、设施配套、要素保障、生态环境保护、安全生产监管等管理和服务，营造更加公平、开放的市场环境，深化“放管服”改革，简化审批环节，减少行政干预。</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九、城乡联动，拓展要素配置新通道</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美丽特色小（城）镇是辐射带动新农村的重要载体。要统筹规划城乡基础设施网络，健全农村基础设施投入长效机制，促进水电路气信等基础设施城乡联网、生态环保设施城乡统一布局建设。推进城乡配电网建设改造，加快农村宽带网络和快递网络建设，以美丽特色小（城）镇为节点，推进农村电商发展和“快递下乡”。推动城镇公共服务向农村延伸，逐步实现城乡基本公共服务制度并轨、标准统一。</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搭建农村一二三产业融合发展服务平台，推进农业与旅游、教育、文化、健康养老等产业深度融合，大力发展农业新型业态。依托优势资源，积极探索承接产业转移新模式，引导城镇资金、信息、人才、管理等要素向农村流动，推动城乡产业链双向延伸对接。促进城乡劳动力、土地、资本和创新要素高效配置。</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十、创新机制，激发城镇发展新活力</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释放美丽特色小（城）镇的内生动力关键要靠体制机制创新。要全面放开小城镇落户限制，全面落实居住证制度，不断拓展公共服务范围。积极盘活存量土地，建立低效用地再开发激励机制。建立健全进城落户农民农村土地承包权、宅基地使用权、集体收益分配权自愿有偿流转和退出机制。创新特色小（城）镇建设投融资机制，大力推进政府和社会资本合作，鼓励利用财政资金撬动社会资金，共同发起设立美丽特色小（城）镇建设基金。研究设立国家新型城镇化建设基金，倾斜支持美丽特色小（城）镇开发建设。鼓励开发银行、农业发展银行、农业银行和</w:t>
      </w:r>
      <w:r w:rsidRPr="002A7B09">
        <w:rPr>
          <w:rFonts w:ascii="微软雅黑" w:eastAsia="微软雅黑" w:hAnsi="微软雅黑" w:cs="宋体" w:hint="eastAsia"/>
          <w:color w:val="000000"/>
          <w:kern w:val="0"/>
          <w:sz w:val="27"/>
          <w:szCs w:val="27"/>
        </w:rPr>
        <w:lastRenderedPageBreak/>
        <w:t>其他金融机构加大金融支持力度。鼓励有条件的小城镇通过发行债券等多种方式拓宽融资渠道。</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按照“小政府、大服务”模式，推行大部门制，降低行政成本，提高行政效率。深入推进强镇扩权，赋予镇区人口10万以上的特大镇县级管理职能和权限，强化事权、财权、人事权和用地指标等保障。推动具备条件的特大镇有序设市。</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各级发展改革部门要把加快建设美丽特色小（城）镇作为落实新型城镇化战略部署和推进供给侧结构性改革的重要抓手，坚持用改革的思路、创新的举措发挥统筹协调作用，借鉴浙江等地采取创建制培育特色小镇的经验，整合各方面力量，加强分类指导，结合地方实际研究出台配套政策，努力打造一批新兴产业集聚、传统产业升级、体制机制灵活、人文气息浓厚、生态环境优美的美丽特色小（城）镇。国家发展改革委将加强统筹协调，加大项目、资金、政策等的支持力度，及时总结推广各地典型经验，推动美丽特色小（城）镇持续健康发展。</w:t>
      </w:r>
    </w:p>
    <w:p w:rsidR="002A7B09" w:rsidRPr="002A7B09" w:rsidRDefault="002A7B09" w:rsidP="002A7B09">
      <w:pPr>
        <w:widowControl/>
        <w:shd w:val="clear" w:color="auto" w:fill="EDEDED"/>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w:t>
      </w:r>
    </w:p>
    <w:p w:rsidR="002A7B09" w:rsidRPr="002A7B09" w:rsidRDefault="002A7B09" w:rsidP="002A7B09">
      <w:pPr>
        <w:widowControl/>
        <w:shd w:val="clear" w:color="auto" w:fill="EDEDED"/>
        <w:jc w:val="center"/>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国家发展改革委</w:t>
      </w:r>
    </w:p>
    <w:p w:rsidR="002A7B09" w:rsidRPr="002A7B09" w:rsidRDefault="002A7B09" w:rsidP="002A7B09">
      <w:pPr>
        <w:widowControl/>
        <w:shd w:val="clear" w:color="auto" w:fill="EDEDED"/>
        <w:jc w:val="center"/>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2016年10月8日</w:t>
      </w:r>
    </w:p>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Pr>
        <w:pStyle w:val="3"/>
        <w:jc w:val="center"/>
        <w:rPr>
          <w:sz w:val="30"/>
          <w:szCs w:val="30"/>
        </w:rPr>
      </w:pPr>
      <w:bookmarkStart w:id="115" w:name="_Toc12864266"/>
      <w:r w:rsidRPr="002A7B09">
        <w:rPr>
          <w:rFonts w:hint="eastAsia"/>
          <w:sz w:val="30"/>
          <w:szCs w:val="30"/>
        </w:rPr>
        <w:lastRenderedPageBreak/>
        <w:t>住房城乡建设部办公厅关于开展</w:t>
      </w:r>
      <w:r w:rsidRPr="002A7B09">
        <w:rPr>
          <w:rFonts w:hint="eastAsia"/>
          <w:sz w:val="30"/>
          <w:szCs w:val="30"/>
        </w:rPr>
        <w:t>2016</w:t>
      </w:r>
      <w:r w:rsidRPr="002A7B09">
        <w:rPr>
          <w:rFonts w:hint="eastAsia"/>
          <w:sz w:val="30"/>
          <w:szCs w:val="30"/>
        </w:rPr>
        <w:t>年美丽宜居小镇、美丽宜居村庄示范工作的通知（建办村函〔</w:t>
      </w:r>
      <w:r w:rsidRPr="002A7B09">
        <w:rPr>
          <w:rFonts w:hint="eastAsia"/>
          <w:sz w:val="30"/>
          <w:szCs w:val="30"/>
        </w:rPr>
        <w:t>2016</w:t>
      </w:r>
      <w:r w:rsidRPr="002A7B09">
        <w:rPr>
          <w:rFonts w:hint="eastAsia"/>
          <w:sz w:val="30"/>
          <w:szCs w:val="30"/>
        </w:rPr>
        <w:t>〕</w:t>
      </w:r>
      <w:r w:rsidRPr="002A7B09">
        <w:rPr>
          <w:rFonts w:hint="eastAsia"/>
          <w:sz w:val="30"/>
          <w:szCs w:val="30"/>
        </w:rPr>
        <w:t>827</w:t>
      </w:r>
      <w:r w:rsidRPr="002A7B09">
        <w:rPr>
          <w:rFonts w:hint="eastAsia"/>
          <w:sz w:val="30"/>
          <w:szCs w:val="30"/>
        </w:rPr>
        <w:t>号）</w:t>
      </w:r>
      <w:bookmarkEnd w:id="115"/>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各省、自治区住房城乡建设厅，北京市农村工作委员会，天津市城乡建设委员会，上海市规划和国土资源管理局，重庆市城乡建设委员会、新疆生产建设兵团建设局：</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为贯彻落实中央有关农村工作精神和《国民经济和社会发展第十三个五年规划纲要》关于加快建设美丽宜居乡村的要求，依据《关于开展美丽宜居小镇、美丽宜居村庄示范工作的通知》（建村[2013]40号），现就开展2016年美丽宜居小镇、美丽宜居村庄（以下简称美丽宜居村镇）示范有关工作通知如下：</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一、基本要求</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各地要按照美丽宜居村镇示范指导性要求，选择自然景观和田园风光美丽宜人、村镇风貌和基本格局特色鲜明、居住环境和公共设施配套完善、传统文化和乡村要素保护良好、经济发展水平较高且当地居民（村民）安居乐业的村庄和镇作为示范候选对象，并积极探索符合本地实际的美丽宜居村镇建设目标、模式和管理制度，科学有序推进美丽宜居村镇建设。</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二、推荐程序</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省（区、市）住房城乡建设（城乡规划、农业）部门要按照自愿申报、择优选择的原则，对照美丽宜居村镇指导性要求，对申报村镇进行初审，并组织实地调查和问卷调查等工作，确保村镇推荐材料的真实性、全面性和示范性。按每省（区、市）推荐美丽宜居小镇不超过5个、美</w:t>
      </w:r>
      <w:r w:rsidRPr="002A7B09">
        <w:rPr>
          <w:rFonts w:ascii="微软雅黑" w:eastAsia="微软雅黑" w:hAnsi="微软雅黑" w:cs="宋体" w:hint="eastAsia"/>
          <w:color w:val="000000"/>
          <w:kern w:val="0"/>
          <w:sz w:val="27"/>
          <w:szCs w:val="27"/>
        </w:rPr>
        <w:lastRenderedPageBreak/>
        <w:t>丽宜居村庄不超过20个的要求，确定本省（区、市）美丽宜居村镇推荐名单和排序，并于2016年10月15日前将推荐名单、美丽宜居村镇推荐材料报我部。</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我部将组织专家审查和实地调查，审核后公布2016年美丽宜居小镇、美丽宜居村庄示范名单。</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三、推荐材料要求</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各地上报的2016年美丽宜居村镇示范推荐材料包括推荐表（附后）、推荐说明和有关视频（可选）。推荐表按照附件1、2填报，1式3份，以纸质材料提交。说明材料按照附件3、4要求，逐项以文字、照片和图纸进行说明，以PPT格式提交。有关视频材料时长为3-5分钟，文件格式不限。推荐材料中的文字说明时间截至2015年底，选取照片时间应从2015年初至今。说明材料模板及示范PPT可到村镇建设管理平台http://czjs.mohurd.gov.cn下载。推荐说明和视频文件应视情况提供光盘或U盘。</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联 系 人：李亚楠、宋世明、郭志伟</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电    话：010-58934518 58934818（传真）</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电子邮箱：csus_tv@126.com</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附件：1. 美丽宜居小镇示范推荐表</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2. 美丽宜居村庄示范推荐表</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3. 美丽宜居小镇示范指导性要求和说明材料要求</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4. 美丽宜居村庄示范指导性要求和说明材料要求</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br/>
        <w:t xml:space="preserve">　　　　　　　　　　　　　　　　　　　　　　　　　　　　　　　　　　　　　　中华人民共和国住房和城乡建设部办公厅</w:t>
      </w:r>
      <w:r w:rsidRPr="002A7B09">
        <w:rPr>
          <w:rFonts w:ascii="微软雅黑" w:eastAsia="微软雅黑" w:hAnsi="微软雅黑" w:cs="宋体" w:hint="eastAsia"/>
          <w:color w:val="000000"/>
          <w:kern w:val="0"/>
          <w:sz w:val="27"/>
          <w:szCs w:val="27"/>
        </w:rPr>
        <w:br/>
        <w:t xml:space="preserve">　　　　　　　　　　　　　　　　　　　　　　　　　　　　　　　　　　　　　　　　　　　　2016年9月7日</w:t>
      </w:r>
    </w:p>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Pr>
        <w:pStyle w:val="3"/>
        <w:jc w:val="center"/>
        <w:rPr>
          <w:sz w:val="30"/>
          <w:szCs w:val="30"/>
        </w:rPr>
      </w:pPr>
      <w:bookmarkStart w:id="116" w:name="_Toc12864267"/>
      <w:r w:rsidRPr="002A7B09">
        <w:rPr>
          <w:rFonts w:hint="eastAsia"/>
          <w:sz w:val="30"/>
          <w:szCs w:val="30"/>
        </w:rPr>
        <w:lastRenderedPageBreak/>
        <w:t>住房城乡建设部</w:t>
      </w:r>
      <w:r w:rsidRPr="002A7B09">
        <w:rPr>
          <w:rFonts w:hint="eastAsia"/>
          <w:sz w:val="30"/>
          <w:szCs w:val="30"/>
        </w:rPr>
        <w:t xml:space="preserve"> </w:t>
      </w:r>
      <w:r w:rsidRPr="002A7B09">
        <w:rPr>
          <w:rFonts w:hint="eastAsia"/>
          <w:sz w:val="30"/>
          <w:szCs w:val="30"/>
        </w:rPr>
        <w:t>国家发展改革委</w:t>
      </w:r>
      <w:r w:rsidRPr="002A7B09">
        <w:rPr>
          <w:rFonts w:hint="eastAsia"/>
          <w:sz w:val="30"/>
          <w:szCs w:val="30"/>
        </w:rPr>
        <w:t xml:space="preserve"> </w:t>
      </w:r>
      <w:r w:rsidRPr="002A7B09">
        <w:rPr>
          <w:rFonts w:hint="eastAsia"/>
          <w:sz w:val="30"/>
          <w:szCs w:val="30"/>
        </w:rPr>
        <w:t>财政部关于开展特色小镇培育工作的通知（建村〔</w:t>
      </w:r>
      <w:r w:rsidRPr="002A7B09">
        <w:rPr>
          <w:rFonts w:hint="eastAsia"/>
          <w:sz w:val="30"/>
          <w:szCs w:val="30"/>
        </w:rPr>
        <w:t>2016</w:t>
      </w:r>
      <w:r w:rsidRPr="002A7B09">
        <w:rPr>
          <w:rFonts w:hint="eastAsia"/>
          <w:sz w:val="30"/>
          <w:szCs w:val="30"/>
        </w:rPr>
        <w:t>〕</w:t>
      </w:r>
      <w:r w:rsidRPr="002A7B09">
        <w:rPr>
          <w:rFonts w:hint="eastAsia"/>
          <w:sz w:val="30"/>
          <w:szCs w:val="30"/>
        </w:rPr>
        <w:t>147</w:t>
      </w:r>
      <w:r w:rsidRPr="002A7B09">
        <w:rPr>
          <w:rFonts w:hint="eastAsia"/>
          <w:sz w:val="30"/>
          <w:szCs w:val="30"/>
        </w:rPr>
        <w:t>号）</w:t>
      </w:r>
      <w:bookmarkEnd w:id="116"/>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各省、自治区、直辖市住房城乡建设厅（建委）、发展改革委、财政厅，北京市农委、上海市规划和国土资源管理局：</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为贯彻党中央、国务院关于推进特色小镇、小城镇建设的精神，落实《国民经济和社会发展第十三个五年规划纲要》关于加快发展特色镇的要求，住房城乡建设部、国家发展改革委、财政部（以下简称三部委）决定在全国范围开展特色小镇培育工作，现通知如下。</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一、指导思想、原则和目标</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（一）指导思想</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全面贯彻党的十八大和十八届三中、四中、五中全会精神，牢固树立和贯彻落实创新、协调、绿色、开放、共享的发展理念，因地制宜、突出特色，充分发挥市场主体作用，创新建设理念，转变发展方式，通过培育特色鲜明、产业发展、绿色生态、美丽宜居的特色小镇，探索小镇建设健康发展之路，促进经济转型升级，推动新型城镇化和新农村建设。</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（二）基本原则</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突出特色。从当地经济社会发展实际出发，发展特色产业，传承传统文化，注重生态环境保护，完善市政基础设施和公共服务设施，防止千镇一面。依据特色资源优势和发展潜力，科学确定培育对象，防止一哄而上。</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lastRenderedPageBreak/>
        <w:t xml:space="preserve">　　——坚持市场主导。尊重市场规律，充分发挥市场主体作用，政府重在搭建平台、提供服务，防止大包大揽。以产业发展为重点，依据产业发展确定建设规模，防止盲目造镇。</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——坚持深化改革。加大体制机制改革力度，创新发展理念，创新发展模式，创新规划建设管理，创新社会服务管理。推动传统产业改造升级，培育壮大新兴产业，打造创业创新新平台，发展新经济。</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（三）目标</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到2020年，培育1000个左右各具特色、富有活力的休闲旅游、商贸物流、现代制造、教育科技、传统文化、美丽宜居等特色小镇，引领带动全国小城镇建设，不断提高建设水平和发展质量。</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二、培育要求</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（一）特色鲜明的产业形态</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产业定位精准，特色鲜明，战略新兴产业、传统产业、现代农业等发展良好、前景可观。产业向做特、做精、做强发展，新兴产业成长快，传统产业改造升级效果明显，充分利用“互联网+”等新兴手段，推动产业链向研发、营销延伸。产业发展环境良好，产业、投资、人才、服务等要素集聚度较高。通过产业发展，小镇吸纳周边农村剩余劳动力就业的能力明显增强，带动农村发展效果明显。</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（二）和谐宜居的美丽环境</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空间布局与周边自然环境相协调，整体格局和风貌具有典型特征，路网合理，建设高度和密度适宜。居住区开放融合，提倡街坊式布局，住房舒适美观。建筑彰显传统文化和地域特色。公园绿地贴近生活、贴</w:t>
      </w:r>
      <w:r w:rsidRPr="002A7B09">
        <w:rPr>
          <w:rFonts w:ascii="微软雅黑" w:eastAsia="微软雅黑" w:hAnsi="微软雅黑" w:cs="宋体" w:hint="eastAsia"/>
          <w:color w:val="000000"/>
          <w:kern w:val="0"/>
          <w:sz w:val="27"/>
          <w:szCs w:val="27"/>
        </w:rPr>
        <w:lastRenderedPageBreak/>
        <w:t>近工作。店铺布局有管控。镇区环境优美，干净整洁。土地利用集约节约，小镇建设与产业发展同步协调。美丽乡村建设成效突出。</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（三）彰显特色的传统文化</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传统文化得到充分挖掘、整理、记录，历史文化遗存得到良好保护和利用，非物质文化遗产活态传承。形成独特的文化标识，与产业融合发展。优秀传统文化在经济发展和社会管理中得到充分弘扬。公共文化传播方式方法丰富有效。居民思想道德和文化素质较高。</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（四）便捷完善的设施服务</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基础设施完善，自来水符合卫生标准，生活污水全面收集并达标排放，垃圾无害化处理，道路交通停车设施完善便捷，绿化覆盖率较高，防洪、排涝、消防等各类防灾设施符合标准。公共服务设施完善、服务质量较高，教育、医疗、文化、商业等服务覆盖农村地区。</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（五）充满活力的体制机制</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发展理念有创新，经济发展模式有创新。规划建设管理有创新，鼓励多规协调，建设规划与土地利用规划合一，社会管理服务有创新。省、市、县支持政策有创新。镇村融合发展有创新。体制机制建设促进小镇健康发展，激发内生动力。</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三、组织领导和支持政策</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部委负责组织开展全国特色小镇培育工作，明确培育要求，制定政策措施，开展指导检查，公布特色小镇名单。省级住房城乡建设、发展改革、财政部门负责组织开展本地区特色小镇培育工作，制定本地区指导意见和支持政策，开展监督检查，组织推荐。县级人民政府是培育</w:t>
      </w:r>
      <w:r w:rsidRPr="002A7B09">
        <w:rPr>
          <w:rFonts w:ascii="微软雅黑" w:eastAsia="微软雅黑" w:hAnsi="微软雅黑" w:cs="宋体" w:hint="eastAsia"/>
          <w:color w:val="000000"/>
          <w:kern w:val="0"/>
          <w:sz w:val="27"/>
          <w:szCs w:val="27"/>
        </w:rPr>
        <w:lastRenderedPageBreak/>
        <w:t>特色小镇的责任主体，制定支持政策和保障措施，整合落实资金，完善体制机制，统筹项目安排并组织推进。镇人民政府负责做好实施工作。</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国家发展改革委等有关部门支持符合条件的特色小镇建设项目申请专项建设基金，中央财政对工作开展较好的特色小镇给予适当奖励。</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三部委依据各省小城镇建设和特色小镇培育工作情况，逐年确定各省推荐数量。省级住房城乡建设、发展改革、财政部门按推荐数量，于每年8月底前将达到培育要求的镇向三部委推荐。特色小镇原则上为建制镇（县城关镇除外），优先选择全国重点镇。</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2016年各省（区、市）特色小镇推荐数量及有关要求另行通知。</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联系单位：住房城乡建设部村镇建设司</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联 系 人： 林岚岚、贾一石</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电　　话： 010-58934432、58934431</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 xml:space="preserve">　　传　　真： 010-58933123</w:t>
      </w:r>
    </w:p>
    <w:p w:rsidR="002A7B09" w:rsidRPr="002A7B09" w:rsidRDefault="002A7B09" w:rsidP="002A7B09">
      <w:pPr>
        <w:widowControl/>
        <w:spacing w:line="360" w:lineRule="atLeast"/>
        <w:jc w:val="left"/>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中华人民共和国住房和城乡建设部</w:t>
      </w:r>
      <w:r w:rsidRPr="002A7B09">
        <w:rPr>
          <w:rFonts w:ascii="微软雅黑" w:eastAsia="微软雅黑" w:hAnsi="微软雅黑" w:cs="宋体" w:hint="eastAsia"/>
          <w:color w:val="000000"/>
          <w:kern w:val="0"/>
          <w:sz w:val="27"/>
          <w:szCs w:val="27"/>
        </w:rPr>
        <w:br/>
        <w:t xml:space="preserve">　</w:t>
      </w: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中华人民共和国国家发展和改革委员会</w:t>
      </w:r>
      <w:r w:rsidRPr="002A7B09">
        <w:rPr>
          <w:rFonts w:ascii="微软雅黑" w:eastAsia="微软雅黑" w:hAnsi="微软雅黑" w:cs="宋体" w:hint="eastAsia"/>
          <w:color w:val="000000"/>
          <w:kern w:val="0"/>
          <w:sz w:val="27"/>
          <w:szCs w:val="27"/>
        </w:rPr>
        <w:br/>
      </w: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中华人民共和国财政部</w:t>
      </w:r>
      <w:r w:rsidRPr="002A7B09">
        <w:rPr>
          <w:rFonts w:ascii="微软雅黑" w:eastAsia="微软雅黑" w:hAnsi="微软雅黑" w:cs="宋体" w:hint="eastAsia"/>
          <w:color w:val="000000"/>
          <w:kern w:val="0"/>
          <w:sz w:val="27"/>
          <w:szCs w:val="27"/>
        </w:rPr>
        <w:br/>
      </w: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 xml:space="preserve">　　 2016年7月1日</w:t>
      </w:r>
    </w:p>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Pr>
        <w:pStyle w:val="3"/>
        <w:jc w:val="center"/>
        <w:rPr>
          <w:sz w:val="30"/>
          <w:szCs w:val="30"/>
        </w:rPr>
      </w:pPr>
      <w:bookmarkStart w:id="117" w:name="_Toc12864268"/>
      <w:r w:rsidRPr="002A7B09">
        <w:rPr>
          <w:rFonts w:hint="eastAsia"/>
          <w:sz w:val="30"/>
          <w:szCs w:val="30"/>
        </w:rPr>
        <w:lastRenderedPageBreak/>
        <w:t>国务院关于深入推进新型城镇化建设的若干意见（国发〔</w:t>
      </w:r>
      <w:r w:rsidRPr="002A7B09">
        <w:rPr>
          <w:rFonts w:hint="eastAsia"/>
          <w:sz w:val="30"/>
          <w:szCs w:val="30"/>
        </w:rPr>
        <w:t>2016</w:t>
      </w:r>
      <w:r w:rsidRPr="002A7B09">
        <w:rPr>
          <w:rFonts w:hint="eastAsia"/>
          <w:sz w:val="30"/>
          <w:szCs w:val="30"/>
        </w:rPr>
        <w:t>〕</w:t>
      </w:r>
      <w:r w:rsidRPr="002A7B09">
        <w:rPr>
          <w:rFonts w:hint="eastAsia"/>
          <w:sz w:val="30"/>
          <w:szCs w:val="30"/>
        </w:rPr>
        <w:t>8</w:t>
      </w:r>
      <w:r w:rsidRPr="002A7B09">
        <w:rPr>
          <w:rFonts w:hint="eastAsia"/>
          <w:sz w:val="30"/>
          <w:szCs w:val="30"/>
        </w:rPr>
        <w:t>号）</w:t>
      </w:r>
      <w:bookmarkEnd w:id="117"/>
    </w:p>
    <w:p w:rsidR="002A7B09" w:rsidRPr="002A7B09" w:rsidRDefault="002A7B09" w:rsidP="002A7B09">
      <w:pPr>
        <w:widowControl/>
        <w:shd w:val="clear" w:color="auto" w:fill="FFFFFF"/>
        <w:jc w:val="left"/>
        <w:rPr>
          <w:rFonts w:ascii="微软雅黑" w:eastAsia="微软雅黑" w:hAnsi="微软雅黑" w:cs="宋体"/>
          <w:color w:val="000000"/>
          <w:kern w:val="0"/>
          <w:sz w:val="27"/>
          <w:szCs w:val="27"/>
        </w:rPr>
      </w:pPr>
      <w:r w:rsidRPr="002A7B09">
        <w:rPr>
          <w:rFonts w:ascii="微软雅黑" w:eastAsia="微软雅黑" w:hAnsi="微软雅黑" w:cs="宋体" w:hint="eastAsia"/>
          <w:color w:val="000000"/>
          <w:kern w:val="0"/>
          <w:sz w:val="27"/>
          <w:szCs w:val="27"/>
        </w:rPr>
        <w:t>各省、自治区、直辖市人民政府，国务院各部委、各直属机构：</w:t>
      </w:r>
      <w:r w:rsidRPr="002A7B09">
        <w:rPr>
          <w:rFonts w:ascii="微软雅黑" w:eastAsia="微软雅黑" w:hAnsi="微软雅黑" w:cs="宋体" w:hint="eastAsia"/>
          <w:color w:val="000000"/>
          <w:kern w:val="0"/>
          <w:sz w:val="27"/>
          <w:szCs w:val="27"/>
        </w:rPr>
        <w:br/>
        <w:t>    新型城镇化是现代化的必由之路，是最大的内需潜力所在，是经济发展的重要动力，也是一项重要的民生工程。《国家新型城镇化规划（2014—2020年）》发布实施以来，各地区、各部门抓紧行动、改革探索，新型城镇化各项工作取得了积极进展，但仍然存在农业转移人口市民化进展缓慢、城镇化质量不高、对扩大内需的主动力作用没有得到充分发挥等问题。为总结推广各地区行之有效的经验，深入推进新型城镇化建设，现提出如下意见。</w:t>
      </w:r>
      <w:r w:rsidRPr="002A7B09">
        <w:rPr>
          <w:rFonts w:ascii="微软雅黑" w:eastAsia="微软雅黑" w:hAnsi="微软雅黑" w:cs="宋体" w:hint="eastAsia"/>
          <w:color w:val="000000"/>
          <w:kern w:val="0"/>
          <w:sz w:val="27"/>
          <w:szCs w:val="27"/>
        </w:rPr>
        <w:br/>
        <w:t>    一、总体要求</w:t>
      </w:r>
      <w:r w:rsidRPr="002A7B09">
        <w:rPr>
          <w:rFonts w:ascii="微软雅黑" w:eastAsia="微软雅黑" w:hAnsi="微软雅黑" w:cs="宋体" w:hint="eastAsia"/>
          <w:color w:val="000000"/>
          <w:kern w:val="0"/>
          <w:sz w:val="27"/>
          <w:szCs w:val="27"/>
        </w:rPr>
        <w:br/>
        <w:t>    全面贯彻党的十八大和十八届二中、三中、四中、五中全会以及中央经济工作会议、中央城镇化工作会议、中央城市工作会议、中央扶贫开发工作会议、中央农村工作会议精神，按照“五位一体”总体布局和“四个全面”战略布局，牢固树立创新、协调、绿色、开放、共享的发展理念，坚持走以人为本、四化同步、优化布局、生态文明、文化传承的中国特色新型城镇化道路，以人的城镇化为核心，以提高质量为关键，以体制机制改革为动力，紧紧围绕新型城镇化目标任务，加快推进户籍制度改革，提升城市综合承载能力，制定完善土地、财政、投融资等配套政策，充分释放新型城镇化蕴藏的巨大内需潜力，为经济持续健康发展提供持久强劲动力。</w:t>
      </w:r>
      <w:r w:rsidRPr="002A7B09">
        <w:rPr>
          <w:rFonts w:ascii="微软雅黑" w:eastAsia="微软雅黑" w:hAnsi="微软雅黑" w:cs="宋体" w:hint="eastAsia"/>
          <w:color w:val="000000"/>
          <w:kern w:val="0"/>
          <w:sz w:val="27"/>
          <w:szCs w:val="27"/>
        </w:rPr>
        <w:br/>
        <w:t>    坚持点面结合、统筹推进。统筹规划、总体布局，促进大中小城市</w:t>
      </w:r>
      <w:r w:rsidRPr="002A7B09">
        <w:rPr>
          <w:rFonts w:ascii="微软雅黑" w:eastAsia="微软雅黑" w:hAnsi="微软雅黑" w:cs="宋体" w:hint="eastAsia"/>
          <w:color w:val="000000"/>
          <w:kern w:val="0"/>
          <w:sz w:val="27"/>
          <w:szCs w:val="27"/>
        </w:rPr>
        <w:lastRenderedPageBreak/>
        <w:t>和小城镇协调发展，着力解决好“三个1亿人”城镇化问题，全面提高城镇化质量。充分发挥国家新型城镇化综合试点作用，及时总结提炼可复制经验，带动全国新型城镇化体制机制创新。</w:t>
      </w:r>
      <w:r w:rsidRPr="002A7B09">
        <w:rPr>
          <w:rFonts w:ascii="微软雅黑" w:eastAsia="微软雅黑" w:hAnsi="微软雅黑" w:cs="宋体" w:hint="eastAsia"/>
          <w:color w:val="000000"/>
          <w:kern w:val="0"/>
          <w:sz w:val="27"/>
          <w:szCs w:val="27"/>
        </w:rPr>
        <w:br/>
        <w:t>    坚持纵横联动、协同推进。加强部门间政策制定和实施的协调配合，推动户籍、土地、财政、住房等相关政策和改革举措形成合力。加强部门与地方政策联动，推动地方加快出台一批配套政策，确保改革举措和政策落地生根。</w:t>
      </w:r>
      <w:r w:rsidRPr="002A7B09">
        <w:rPr>
          <w:rFonts w:ascii="微软雅黑" w:eastAsia="微软雅黑" w:hAnsi="微软雅黑" w:cs="宋体" w:hint="eastAsia"/>
          <w:color w:val="000000"/>
          <w:kern w:val="0"/>
          <w:sz w:val="27"/>
          <w:szCs w:val="27"/>
        </w:rPr>
        <w:br/>
        <w:t>    坚持补齐短板、重点突破。加快实施“一融双新”工程，以促进农民工融入城镇为核心，以加快新生中小城市培育发展和新型城市建设为重点，瞄准短板，加快突破，优化政策组合，弥补供需缺口，促进新型城镇化健康有序发展。</w:t>
      </w:r>
      <w:r w:rsidRPr="002A7B09">
        <w:rPr>
          <w:rFonts w:ascii="微软雅黑" w:eastAsia="微软雅黑" w:hAnsi="微软雅黑" w:cs="宋体" w:hint="eastAsia"/>
          <w:color w:val="000000"/>
          <w:kern w:val="0"/>
          <w:sz w:val="27"/>
          <w:szCs w:val="27"/>
        </w:rPr>
        <w:br/>
        <w:t>    二、积极推进农业转移人口市民化</w:t>
      </w:r>
      <w:r w:rsidRPr="002A7B09">
        <w:rPr>
          <w:rFonts w:ascii="微软雅黑" w:eastAsia="微软雅黑" w:hAnsi="微软雅黑" w:cs="宋体" w:hint="eastAsia"/>
          <w:color w:val="000000"/>
          <w:kern w:val="0"/>
          <w:sz w:val="27"/>
          <w:szCs w:val="27"/>
        </w:rPr>
        <w:br/>
        <w:t>    （一）加快落实户籍制度改革政策。围绕加快提高户籍人口城镇化率，深化户籍制度改革，促进有能力在城镇稳定就业和生活的农业转移人口举家进城落户，并与城镇居民享有同等权利、履行同等义务。鼓励各地区进一步放宽落户条件，除极少数超大城市外，允许农业转移人口在就业地落户，优先解决农村学生升学和参军进入城镇的人口、在城镇就业居住5年以上和举家迁徙的农业转移人口以及新生代农民工落户问题，全面放开对高校毕业生、技术工人、职业院校毕业生、留学归国人员的落户限制，加快制定公开透明的落户标准和切实可行的落户目标。除超大城市和特大城市外，其他城市不得采取要求购买房屋、投资纳税、积分制等方式设置落户限制。加快调整完善超大城市和特大城市落户政</w:t>
      </w:r>
      <w:r w:rsidRPr="002A7B09">
        <w:rPr>
          <w:rFonts w:ascii="微软雅黑" w:eastAsia="微软雅黑" w:hAnsi="微软雅黑" w:cs="宋体" w:hint="eastAsia"/>
          <w:color w:val="000000"/>
          <w:kern w:val="0"/>
          <w:sz w:val="27"/>
          <w:szCs w:val="27"/>
        </w:rPr>
        <w:lastRenderedPageBreak/>
        <w:t>策，根据城市综合承载能力和功能定位，区分主城区、郊区、新区等区域，分类制定落户政策；以具有合法稳定就业和合法稳定住所（含租赁）、参加城镇社会保险年限、连续居住年限等为主要指标，建立完善积分落户制度，重点解决符合条件的普通劳动者的落户问题。加快制定实施推动1亿非户籍人口在城市落户方案，强化地方政府主体责任，确保如期完成。</w:t>
      </w:r>
      <w:r w:rsidRPr="002A7B09">
        <w:rPr>
          <w:rFonts w:ascii="微软雅黑" w:eastAsia="微软雅黑" w:hAnsi="微软雅黑" w:cs="宋体" w:hint="eastAsia"/>
          <w:color w:val="000000"/>
          <w:kern w:val="0"/>
          <w:sz w:val="27"/>
          <w:szCs w:val="27"/>
        </w:rPr>
        <w:br/>
        <w:t>    （二）全面实行居住证制度。推进居住证制度覆盖全部未落户城镇常住人口，保障居住证持有人在居住地享有义务教育、基本公共就业服务、基本公共卫生服务和计划生育服务、公共文化体育服务、法律援助和法律服务以及国家规定的其他基本公共服务；同时，在居住地享有按照国家有关规定办理出入境证件、换领补领居民身份证、机动车登记、申领机动车驾驶证、报名参加职业资格考试和申请授予职业资格以及其他便利。鼓励地方各级人民政府根据本地承载能力不断扩大对居住证持有人的公共服务范围并提高服务标准，缩小与户籍人口基本公共服务的差距。推动居住证持有人享有与当地户籍人口同等的住房保障权利，将符合条件的农业转移人口纳入当地住房保障范围。各城市要根据《居住证暂行条例》，加快制定实施具体管理办法，防止居住证与基本公共服务脱钩。</w:t>
      </w:r>
      <w:r w:rsidRPr="002A7B09">
        <w:rPr>
          <w:rFonts w:ascii="微软雅黑" w:eastAsia="微软雅黑" w:hAnsi="微软雅黑" w:cs="宋体" w:hint="eastAsia"/>
          <w:color w:val="000000"/>
          <w:kern w:val="0"/>
          <w:sz w:val="27"/>
          <w:szCs w:val="27"/>
        </w:rPr>
        <w:br/>
        <w:t>    （三）推进城镇基本公共服务常住人口全覆盖。保障农民工随迁子女以流入地公办学校为主接受义务教育，以公办幼儿园和普惠性民办幼儿园为主接受学前教育。实施义务教育“两免一补”和生均公用经费基准定额资金随学生流动可携带政策，统筹人口流入地与流出地教师编制。</w:t>
      </w:r>
      <w:r w:rsidRPr="002A7B09">
        <w:rPr>
          <w:rFonts w:ascii="微软雅黑" w:eastAsia="微软雅黑" w:hAnsi="微软雅黑" w:cs="宋体" w:hint="eastAsia"/>
          <w:color w:val="000000"/>
          <w:kern w:val="0"/>
          <w:sz w:val="27"/>
          <w:szCs w:val="27"/>
        </w:rPr>
        <w:lastRenderedPageBreak/>
        <w:t>组织实施农民工职业技能提升计划，每年培训2000万人次以上。允许在农村参加的养老保险和医疗保险规范接入城镇社保体系，加快建立基本医疗保险异地就医医疗费用结算制度。</w:t>
      </w:r>
      <w:r w:rsidRPr="002A7B09">
        <w:rPr>
          <w:rFonts w:ascii="微软雅黑" w:eastAsia="微软雅黑" w:hAnsi="微软雅黑" w:cs="宋体" w:hint="eastAsia"/>
          <w:color w:val="000000"/>
          <w:kern w:val="0"/>
          <w:sz w:val="27"/>
          <w:szCs w:val="27"/>
        </w:rPr>
        <w:br/>
        <w:t>    （四）加快建立农业转移人口市民化激励机制。切实维护进城落户农民在农村的合法权益。实施财政转移支付同农业转移人口市民化挂钩政策，实施城镇建设用地增加规模与吸纳农业转移人口落户数量挂钩政策，中央预算内投资安排向吸纳农业转移人口落户数量较多的城镇倾斜。各省级人民政府要出台相应配套政策，加快推进农业转移人口市民化进程。</w:t>
      </w:r>
      <w:r w:rsidRPr="002A7B09">
        <w:rPr>
          <w:rFonts w:ascii="微软雅黑" w:eastAsia="微软雅黑" w:hAnsi="微软雅黑" w:cs="宋体" w:hint="eastAsia"/>
          <w:color w:val="000000"/>
          <w:kern w:val="0"/>
          <w:sz w:val="27"/>
          <w:szCs w:val="27"/>
        </w:rPr>
        <w:br/>
        <w:t>    三、全面提升城市功能</w:t>
      </w:r>
      <w:r w:rsidRPr="002A7B09">
        <w:rPr>
          <w:rFonts w:ascii="微软雅黑" w:eastAsia="微软雅黑" w:hAnsi="微软雅黑" w:cs="宋体" w:hint="eastAsia"/>
          <w:color w:val="000000"/>
          <w:kern w:val="0"/>
          <w:sz w:val="27"/>
          <w:szCs w:val="27"/>
        </w:rPr>
        <w:br/>
        <w:t>    （五）加快城镇棚户区、城中村和危房改造。围绕实现约1亿人居住的城镇棚户区、城中村和危房改造目标，实施棚户区改造行动计划和城镇旧房改造工程，推动棚户区改造与名城保护、城市更新相结合，加快推进城市棚户区和城中村改造，有序推进旧住宅小区综合整治、危旧住房和非成套住房（包括无上下水、北方地区无供热设施等的住房）改造，将棚户区改造政策支持范围扩大到全国重点镇。加强棚户区改造工程质量监督，严格实施质量责任终身追究制度。</w:t>
      </w:r>
      <w:r w:rsidRPr="002A7B09">
        <w:rPr>
          <w:rFonts w:ascii="微软雅黑" w:eastAsia="微软雅黑" w:hAnsi="微软雅黑" w:cs="宋体" w:hint="eastAsia"/>
          <w:color w:val="000000"/>
          <w:kern w:val="0"/>
          <w:sz w:val="27"/>
          <w:szCs w:val="27"/>
        </w:rPr>
        <w:br/>
        <w:t>    （六）加快城市综合交通网络建设。优化街区路网结构，建设快速路、主次干路和支路级配合理的路网系统，提升城市道路网络密度，优先发展公共交通。大城市要统筹公共汽车、轻轨、地铁等协同发展，推进城市轨道交通系统和自行车等慢行交通系统建设，在有条件的地区规划建设市郊铁路，提高道路的通达性。畅通进出城市通道，加快换乘枢</w:t>
      </w:r>
      <w:r w:rsidRPr="002A7B09">
        <w:rPr>
          <w:rFonts w:ascii="微软雅黑" w:eastAsia="微软雅黑" w:hAnsi="微软雅黑" w:cs="宋体" w:hint="eastAsia"/>
          <w:color w:val="000000"/>
          <w:kern w:val="0"/>
          <w:sz w:val="27"/>
          <w:szCs w:val="27"/>
        </w:rPr>
        <w:lastRenderedPageBreak/>
        <w:t>纽、停车场等设施建设，推进充电站、充电桩等新能源汽车充电设施建设，将其纳入城市旧城改造和新城建设规划同步实施。</w:t>
      </w:r>
      <w:r w:rsidRPr="002A7B09">
        <w:rPr>
          <w:rFonts w:ascii="微软雅黑" w:eastAsia="微软雅黑" w:hAnsi="微软雅黑" w:cs="宋体" w:hint="eastAsia"/>
          <w:color w:val="000000"/>
          <w:kern w:val="0"/>
          <w:sz w:val="27"/>
          <w:szCs w:val="27"/>
        </w:rPr>
        <w:br/>
        <w:t>    （七）实施城市地下管网改造工程。统筹城市地上地下设施规划建设，加强城市地下基础设施建设和改造，合理布局电力、通信、广电、给排水、热力、燃气等地下管网，加快实施既有路面城市电网、通信网络架空线入地工程。推动城市新区、各类园区、成片开发区的新建道路同步建设地下综合管廊，老城区要结合地铁建设、河道治理、道路整治、旧城更新、棚户区改造等逐步推进地下综合管廊建设，鼓励社会资本投资运营地下综合管廊。加快城市易涝点改造，推进雨污分流管网改造与排水和防洪排涝设施建设。加强供水管网改造，降低供水管网漏损率。</w:t>
      </w:r>
      <w:r w:rsidRPr="002A7B09">
        <w:rPr>
          <w:rFonts w:ascii="微软雅黑" w:eastAsia="微软雅黑" w:hAnsi="微软雅黑" w:cs="宋体" w:hint="eastAsia"/>
          <w:color w:val="000000"/>
          <w:kern w:val="0"/>
          <w:sz w:val="27"/>
          <w:szCs w:val="27"/>
        </w:rPr>
        <w:br/>
        <w:t>    （八）推进海绵城市建设。在城市新区、各类园区、成片开发区全面推进海绵城市建设。在老城区结合棚户区、危房改造和老旧小区有机更新，妥善解决城市防洪安全、雨水收集利用、黑臭水体治理等问题。加强海绵型建筑与小区、海绵型道路与广场、海绵型公园与绿地、绿色蓄排与净化利用设施等建设。加强自然水系保护与生态修复，切实保护良好水体和饮用水源。</w:t>
      </w:r>
      <w:r w:rsidRPr="002A7B09">
        <w:rPr>
          <w:rFonts w:ascii="微软雅黑" w:eastAsia="微软雅黑" w:hAnsi="微软雅黑" w:cs="宋体" w:hint="eastAsia"/>
          <w:color w:val="000000"/>
          <w:kern w:val="0"/>
          <w:sz w:val="27"/>
          <w:szCs w:val="27"/>
        </w:rPr>
        <w:br/>
        <w:t>    （九）推动新型城市建设。坚持适用、经济、绿色、美观方针，提升规划水平，增强城市规划的科学性和权威性，促进“多规合一”，全面开展城市设计，加快建设绿色城市、智慧城市、人文城市等新型城市，全面提升城市内在品质。实施“宽带中国”战略和“互联网+”城市计划，加速光纤入户，促进宽带网络提速降费，发展智能交通、智能电网、智能水务、智能管网、智能园区。推动分布式太阳能、风能、生物质能、</w:t>
      </w:r>
      <w:r w:rsidRPr="002A7B09">
        <w:rPr>
          <w:rFonts w:ascii="微软雅黑" w:eastAsia="微软雅黑" w:hAnsi="微软雅黑" w:cs="宋体" w:hint="eastAsia"/>
          <w:color w:val="000000"/>
          <w:kern w:val="0"/>
          <w:sz w:val="27"/>
          <w:szCs w:val="27"/>
        </w:rPr>
        <w:lastRenderedPageBreak/>
        <w:t>地热能多元化规模化应用和工业余热供暖，推进既有建筑供热计量和节能改造，对大型公共建筑和政府投资的各类建筑全面执行绿色建筑标准和认证，积极推广应用绿色新型建材、装配式建筑和钢结构建筑。加强垃圾处理设施建设，基本建立建筑垃圾、餐厨废弃物、园林废弃物等回收和再生利用体系，建设循环型城市。划定永久基本农田、生态保护红线和城市开发边界，实施城市生态廊道建设和生态系统修复工程。制定实施城市空气质量达标时间表，努力提高优良天数比例，大幅减少重污染天数。落实最严格水资源管理制度，推广节水新技术和新工艺，积极推进中水回用，全面建设节水型城市。促进国家级新区健康发展，推动符合条件的开发区向城市功能区转型，引导工业集聚区规范发展。</w:t>
      </w:r>
      <w:r w:rsidRPr="002A7B09">
        <w:rPr>
          <w:rFonts w:ascii="微软雅黑" w:eastAsia="微软雅黑" w:hAnsi="微软雅黑" w:cs="宋体" w:hint="eastAsia"/>
          <w:color w:val="000000"/>
          <w:kern w:val="0"/>
          <w:sz w:val="27"/>
          <w:szCs w:val="27"/>
        </w:rPr>
        <w:br/>
        <w:t>    （十）提升城市公共服务水平。根据城镇常住人口增长趋势，加大财政对接收农民工随迁子女较多的城镇中小学校、幼儿园建设的投入力度，吸引企业和社会力量投资建学办学，增加中小学校和幼儿园学位供给。统筹新老城区公共服务资源均衡配置。加强医疗卫生机构、文化设施、体育健身场所设施、公园绿地等公共服务设施以及社区服务综合信息平台规划建设。优化社区生活设施布局，打造包括物流配送、便民超市、银行网点、零售药店、家庭服务中心等在内的便捷生活服务圈。建设以居家为基础、社区为依托、机构为补充的多层次养老服务体系，推动生活照料、康复护理、精神慰藉、紧急援助等服务全覆盖。加快推进住宅、公共建筑等的适老化改造。加强城镇公用设施使用安全管理，健全城市抗震、防洪、排涝、消防、应对地质灾害应急指挥体系，完善城市生命通道系统，加强城市防灾避难场所建设，增强抵御自然灾害、处</w:t>
      </w:r>
      <w:r w:rsidRPr="002A7B09">
        <w:rPr>
          <w:rFonts w:ascii="微软雅黑" w:eastAsia="微软雅黑" w:hAnsi="微软雅黑" w:cs="宋体" w:hint="eastAsia"/>
          <w:color w:val="000000"/>
          <w:kern w:val="0"/>
          <w:sz w:val="27"/>
          <w:szCs w:val="27"/>
        </w:rPr>
        <w:lastRenderedPageBreak/>
        <w:t>置突发事件和危机管理能力。</w:t>
      </w:r>
      <w:r w:rsidRPr="002A7B09">
        <w:rPr>
          <w:rFonts w:ascii="微软雅黑" w:eastAsia="微软雅黑" w:hAnsi="微软雅黑" w:cs="宋体" w:hint="eastAsia"/>
          <w:color w:val="000000"/>
          <w:kern w:val="0"/>
          <w:sz w:val="27"/>
          <w:szCs w:val="27"/>
        </w:rPr>
        <w:br/>
        <w:t>    四、加快培育中小城市和特色小城镇</w:t>
      </w:r>
      <w:r w:rsidRPr="002A7B09">
        <w:rPr>
          <w:rFonts w:ascii="微软雅黑" w:eastAsia="微软雅黑" w:hAnsi="微软雅黑" w:cs="宋体" w:hint="eastAsia"/>
          <w:color w:val="000000"/>
          <w:kern w:val="0"/>
          <w:sz w:val="27"/>
          <w:szCs w:val="27"/>
        </w:rPr>
        <w:br/>
        <w:t>    （十一）提升县城和重点镇基础设施水平。加强县城和重点镇公共供水、道路交通、燃气供热、信息网络、分布式能源等市政设施和教育、医疗、文化等公共服务设施建设。推进城镇生活污水垃圾处理设施全覆盖和稳定运行，提高县城垃圾资源化、无害化处理能力，加快重点镇垃圾收集和转运设施建设，利用水泥窑协同处理生活垃圾及污泥。推进北方县城和重点镇集中供热全覆盖。加大对中西部地区发展潜力大、吸纳人口多的县城和重点镇的支持力度。</w:t>
      </w:r>
      <w:r w:rsidRPr="002A7B09">
        <w:rPr>
          <w:rFonts w:ascii="微软雅黑" w:eastAsia="微软雅黑" w:hAnsi="微软雅黑" w:cs="宋体" w:hint="eastAsia"/>
          <w:color w:val="000000"/>
          <w:kern w:val="0"/>
          <w:sz w:val="27"/>
          <w:szCs w:val="27"/>
        </w:rPr>
        <w:br/>
        <w:t>    （十二）加快拓展特大镇功能。开展特大镇功能设置试点，以下放事权、扩大财权、改革人事权及强化用地指标保障等为重点，赋予镇区人口10万以上的特大镇部分县级管理权限，允许其按照相同人口规模城市市政设施标准进行建设发展。同步推进特大镇行政管理体制改革和设市模式创新改革试点，减少行政管理层级、推行大部门制，降低行政成本、提高行政效率。</w:t>
      </w:r>
      <w:r w:rsidRPr="002A7B09">
        <w:rPr>
          <w:rFonts w:ascii="微软雅黑" w:eastAsia="微软雅黑" w:hAnsi="微软雅黑" w:cs="宋体" w:hint="eastAsia"/>
          <w:color w:val="000000"/>
          <w:kern w:val="0"/>
          <w:sz w:val="27"/>
          <w:szCs w:val="27"/>
        </w:rPr>
        <w:br/>
        <w:t>    （十三）加快特色镇发展。因地制宜、突出特色、创新机制，充分发挥市场主体作用，推动小城镇发展与疏解大城市中心城区功能相结合、与特色产业发展相结合、与服务“三农”相结合。发展具有特色优势的休闲旅游、商贸物流、信息产业、先进制造、民俗文化传承、科技教育等魅力小镇，带动农业现代化和农民就近城镇化。提升边境口岸城镇功能，在人员往来、加工物流、旅游等方面实行差别化政策，提高投资贸易便利化水平和人流物流便利化程度。</w:t>
      </w:r>
      <w:r w:rsidRPr="002A7B09">
        <w:rPr>
          <w:rFonts w:ascii="微软雅黑" w:eastAsia="微软雅黑" w:hAnsi="微软雅黑" w:cs="宋体" w:hint="eastAsia"/>
          <w:color w:val="000000"/>
          <w:kern w:val="0"/>
          <w:sz w:val="27"/>
          <w:szCs w:val="27"/>
        </w:rPr>
        <w:br/>
      </w:r>
      <w:r w:rsidRPr="002A7B09">
        <w:rPr>
          <w:rFonts w:ascii="微软雅黑" w:eastAsia="微软雅黑" w:hAnsi="微软雅黑" w:cs="宋体" w:hint="eastAsia"/>
          <w:color w:val="000000"/>
          <w:kern w:val="0"/>
          <w:sz w:val="27"/>
          <w:szCs w:val="27"/>
        </w:rPr>
        <w:lastRenderedPageBreak/>
        <w:t>    （十四）培育发展一批中小城市。完善设市标准和市辖区设置标准，规范审核审批程序，加快启动相关工作，将具备条件的县和特大镇有序设置为市。适当放宽中西部地区中小城市设置标准，加强产业和公共资源布局引导，适度增加中西部地区中小城市数量。</w:t>
      </w:r>
      <w:r w:rsidRPr="002A7B09">
        <w:rPr>
          <w:rFonts w:ascii="微软雅黑" w:eastAsia="微软雅黑" w:hAnsi="微软雅黑" w:cs="宋体" w:hint="eastAsia"/>
          <w:color w:val="000000"/>
          <w:kern w:val="0"/>
          <w:sz w:val="27"/>
          <w:szCs w:val="27"/>
        </w:rPr>
        <w:br/>
        <w:t>    （十五）加快城市群建设。编制实施一批城市群发展规划，优化提升京津冀、长三角、珠三角三大城市群，推动形成东北地区、中原地区、长江中游、成渝地区、关中平原等城市群。推进城市群基础设施一体化建设，构建核心城市1小时通勤圈，完善城市群之间快速高效互联互通交通网络，建设以高速铁路、城际铁路、高速公路为骨干的城市群内部交通网络，统筹规划建设高速联通、服务便捷的信息网络，统筹推进重大能源基础设施和能源市场一体化建设，共同建设安全可靠的水利和供水系统。做好城镇发展规划与安全生产规划的统筹衔接。</w:t>
      </w:r>
      <w:r w:rsidRPr="002A7B09">
        <w:rPr>
          <w:rFonts w:ascii="微软雅黑" w:eastAsia="微软雅黑" w:hAnsi="微软雅黑" w:cs="宋体" w:hint="eastAsia"/>
          <w:color w:val="000000"/>
          <w:kern w:val="0"/>
          <w:sz w:val="27"/>
          <w:szCs w:val="27"/>
        </w:rPr>
        <w:br/>
        <w:t>    五、辐射带动新农村建设</w:t>
      </w:r>
      <w:r w:rsidRPr="002A7B09">
        <w:rPr>
          <w:rFonts w:ascii="微软雅黑" w:eastAsia="微软雅黑" w:hAnsi="微软雅黑" w:cs="宋体" w:hint="eastAsia"/>
          <w:color w:val="000000"/>
          <w:kern w:val="0"/>
          <w:sz w:val="27"/>
          <w:szCs w:val="27"/>
        </w:rPr>
        <w:br/>
        <w:t>    （十六）推动基础设施和公共服务向农村延伸。推动水电路等基础设施城乡联网。推进城乡配电网建设改造，加快信息进村入户，尽快实现行政村通硬化路、通班车、通邮、通快递，推动有条件地区燃气向农村覆盖。开展农村人居环境整治行动，加强农村垃圾和污水收集处理设施以及防洪排涝设施建设，强化河湖水系整治，加大对传统村落民居和历史文化名村名镇的保护力度，建设美丽宜居乡村。加快农村教育、医疗卫生、文化等事业发展，推进城乡基本公共服务均等化。深化农村社区建设试点。</w:t>
      </w:r>
      <w:r w:rsidRPr="002A7B09">
        <w:rPr>
          <w:rFonts w:ascii="微软雅黑" w:eastAsia="微软雅黑" w:hAnsi="微软雅黑" w:cs="宋体" w:hint="eastAsia"/>
          <w:color w:val="000000"/>
          <w:kern w:val="0"/>
          <w:sz w:val="27"/>
          <w:szCs w:val="27"/>
        </w:rPr>
        <w:br/>
        <w:t>    （十七）带动农村一二三产业融合发展。以县级行政区为基础，以</w:t>
      </w:r>
      <w:r w:rsidRPr="002A7B09">
        <w:rPr>
          <w:rFonts w:ascii="微软雅黑" w:eastAsia="微软雅黑" w:hAnsi="微软雅黑" w:cs="宋体" w:hint="eastAsia"/>
          <w:color w:val="000000"/>
          <w:kern w:val="0"/>
          <w:sz w:val="27"/>
          <w:szCs w:val="27"/>
        </w:rPr>
        <w:lastRenderedPageBreak/>
        <w:t>建制镇为支点，搭建多层次、宽领域、广覆盖的农村一二三产业融合发展服务平台，完善利益联结机制，促进农业产业链延伸，推进农业与旅游、教育、文化、健康养老等产业深度融合，大力发展农业新型业态。强化农民合作社和家庭农场基础作用，支持龙头企业引领示范，鼓励社会资本投入，培育多元化农业产业融合主体。推动返乡创业集聚发展。</w:t>
      </w:r>
      <w:r w:rsidRPr="002A7B09">
        <w:rPr>
          <w:rFonts w:ascii="微软雅黑" w:eastAsia="微软雅黑" w:hAnsi="微软雅黑" w:cs="宋体" w:hint="eastAsia"/>
          <w:color w:val="000000"/>
          <w:kern w:val="0"/>
          <w:sz w:val="27"/>
          <w:szCs w:val="27"/>
        </w:rPr>
        <w:br/>
        <w:t>    （十八）带动农村电子商务发展。加快农村宽带网络和快递网络建设，加快农村电子商务发展和“快递下乡”。支持适应乡村特点的电子商务服务平台、商品集散平台和物流中心建设，鼓励电子商务第三方交易平台渠道下沉，带动农村特色产业发展，推进农产品进城、农业生产资料下乡。完善有利于中小网商发展的政策措施，在风险可控、商业可持续的前提下支持发展面向中小网商的融资贷款业务。</w:t>
      </w:r>
      <w:r w:rsidRPr="002A7B09">
        <w:rPr>
          <w:rFonts w:ascii="微软雅黑" w:eastAsia="微软雅黑" w:hAnsi="微软雅黑" w:cs="宋体" w:hint="eastAsia"/>
          <w:color w:val="000000"/>
          <w:kern w:val="0"/>
          <w:sz w:val="27"/>
          <w:szCs w:val="27"/>
        </w:rPr>
        <w:br/>
        <w:t>    （十九）推进易地扶贫搬迁与新型城镇化结合。坚持尊重群众意愿，注重因地制宜，搞好科学规划，在县城、小城镇或工业园区附近建设移民集中安置区，推进转移就业贫困人口在城镇落户。坚持加大中央财政支持和多渠道筹集资金相结合，坚持搬迁和发展两手抓，妥善解决搬迁群众的居住、看病、上学等问题，统筹谋划安置区产业发展与群众就业创业，确保搬迁群众生活有改善、发展有前景。</w:t>
      </w:r>
      <w:r w:rsidRPr="002A7B09">
        <w:rPr>
          <w:rFonts w:ascii="微软雅黑" w:eastAsia="微软雅黑" w:hAnsi="微软雅黑" w:cs="宋体" w:hint="eastAsia"/>
          <w:color w:val="000000"/>
          <w:kern w:val="0"/>
          <w:sz w:val="27"/>
          <w:szCs w:val="27"/>
        </w:rPr>
        <w:br/>
        <w:t>    六、完善土地利用机制</w:t>
      </w:r>
      <w:r w:rsidRPr="002A7B09">
        <w:rPr>
          <w:rFonts w:ascii="微软雅黑" w:eastAsia="微软雅黑" w:hAnsi="微软雅黑" w:cs="宋体" w:hint="eastAsia"/>
          <w:color w:val="000000"/>
          <w:kern w:val="0"/>
          <w:sz w:val="27"/>
          <w:szCs w:val="27"/>
        </w:rPr>
        <w:br/>
        <w:t>    （二十）规范推进城乡建设用地增减挂钩。总结完善并推广有关经验模式，全面实行城镇建设用地增加与农村建设用地减少相挂钩的政策。高标准、高质量推进村庄整治，在规范管理、规范操作、规范运行的基础上，扩大城乡建设用地增减挂钩规模和范围。运用现代信息技术手段</w:t>
      </w:r>
      <w:r w:rsidRPr="002A7B09">
        <w:rPr>
          <w:rFonts w:ascii="微软雅黑" w:eastAsia="微软雅黑" w:hAnsi="微软雅黑" w:cs="宋体" w:hint="eastAsia"/>
          <w:color w:val="000000"/>
          <w:kern w:val="0"/>
          <w:sz w:val="27"/>
          <w:szCs w:val="27"/>
        </w:rPr>
        <w:lastRenderedPageBreak/>
        <w:t>加强土地利用变更情况监测监管。</w:t>
      </w:r>
      <w:r w:rsidRPr="002A7B09">
        <w:rPr>
          <w:rFonts w:ascii="微软雅黑" w:eastAsia="微软雅黑" w:hAnsi="微软雅黑" w:cs="宋体" w:hint="eastAsia"/>
          <w:color w:val="000000"/>
          <w:kern w:val="0"/>
          <w:sz w:val="27"/>
          <w:szCs w:val="27"/>
        </w:rPr>
        <w:br/>
        <w:t>    （二十一）建立城镇低效用地再开发激励机制。允许存量土地使用权人在不违反法律法规、符合相关规划的前提下，按照有关规定经批准后对土地进行再开发。完善城镇存量土地再开发过程中的供应方式，鼓励原土地使用权人自行改造，涉及原划拨土地使用权转让需补办出让手续的，经依法批准，可采取规定方式办理并按市场价缴纳土地出让价款。在国家、改造者、土地权利人之间合理分配“三旧”（旧城镇、旧厂房、旧村庄）改造的土地收益。</w:t>
      </w:r>
      <w:r w:rsidRPr="002A7B09">
        <w:rPr>
          <w:rFonts w:ascii="微软雅黑" w:eastAsia="微软雅黑" w:hAnsi="微软雅黑" w:cs="宋体" w:hint="eastAsia"/>
          <w:color w:val="000000"/>
          <w:kern w:val="0"/>
          <w:sz w:val="27"/>
          <w:szCs w:val="27"/>
        </w:rPr>
        <w:br/>
        <w:t>    （二十二）因地制宜推进低丘缓坡地开发。在坚持最严格的耕地保护制度、确保生态安全、切实做好地质灾害防治的前提下，在资源环境承载力适宜地区开展低丘缓坡地开发试点。通过创新规划计划方式、开展整体整治、土地分批供应等政策措施，合理确定低丘缓坡地开发用途、规模、布局和项目用地准入门槛。</w:t>
      </w:r>
      <w:r w:rsidRPr="002A7B09">
        <w:rPr>
          <w:rFonts w:ascii="微软雅黑" w:eastAsia="微软雅黑" w:hAnsi="微软雅黑" w:cs="宋体" w:hint="eastAsia"/>
          <w:color w:val="000000"/>
          <w:kern w:val="0"/>
          <w:sz w:val="27"/>
          <w:szCs w:val="27"/>
        </w:rPr>
        <w:br/>
        <w:t>    （二十三）完善土地经营权和宅基地使用权流转机制。加快推进农村土地确权登记颁证工作，鼓励地方建立健全农村产权流转市场体系，探索农户对土地承包权、宅基地使用权、集体收益分配权的自愿有偿退出机制，支持引导其依法自愿有偿转让上述权益，提高资源利用效率，防止闲置和浪费。深入推进农村土地征收、集体经营性建设用地入市、宅基地制度改革试点，稳步开展农村承包土地的经营权和农民住房财产权抵押贷款试点。</w:t>
      </w:r>
      <w:r w:rsidRPr="002A7B09">
        <w:rPr>
          <w:rFonts w:ascii="微软雅黑" w:eastAsia="微软雅黑" w:hAnsi="微软雅黑" w:cs="宋体" w:hint="eastAsia"/>
          <w:color w:val="000000"/>
          <w:kern w:val="0"/>
          <w:sz w:val="27"/>
          <w:szCs w:val="27"/>
        </w:rPr>
        <w:br/>
        <w:t>    七、创新投融资机制</w:t>
      </w:r>
      <w:r w:rsidRPr="002A7B09">
        <w:rPr>
          <w:rFonts w:ascii="微软雅黑" w:eastAsia="微软雅黑" w:hAnsi="微软雅黑" w:cs="宋体" w:hint="eastAsia"/>
          <w:color w:val="000000"/>
          <w:kern w:val="0"/>
          <w:sz w:val="27"/>
          <w:szCs w:val="27"/>
        </w:rPr>
        <w:br/>
        <w:t>    （二十四）深化政府和社会资本合作。进一步放宽准入条件，健全</w:t>
      </w:r>
      <w:r w:rsidRPr="002A7B09">
        <w:rPr>
          <w:rFonts w:ascii="微软雅黑" w:eastAsia="微软雅黑" w:hAnsi="微软雅黑" w:cs="宋体" w:hint="eastAsia"/>
          <w:color w:val="000000"/>
          <w:kern w:val="0"/>
          <w:sz w:val="27"/>
          <w:szCs w:val="27"/>
        </w:rPr>
        <w:lastRenderedPageBreak/>
        <w:t>价格调整机制和政府补贴、监管机制，广泛吸引社会资本参与城市基础设施和市政公用设施建设和运营。根据经营性、准经营性和非经营性项目不同特点，采取更具针对性的政府和社会资本合作模式，加快城市基础设施和公共服务设施建设。</w:t>
      </w:r>
      <w:r w:rsidRPr="002A7B09">
        <w:rPr>
          <w:rFonts w:ascii="微软雅黑" w:eastAsia="微软雅黑" w:hAnsi="微软雅黑" w:cs="宋体" w:hint="eastAsia"/>
          <w:color w:val="000000"/>
          <w:kern w:val="0"/>
          <w:sz w:val="27"/>
          <w:szCs w:val="27"/>
        </w:rPr>
        <w:br/>
        <w:t>    （二十五）加大政府投入力度。优化政府投资结构，安排专项资金重点支持农业转移人口市民化相关配套设施建设。编制公开透明的政府资产负债表，允许有条件的地区通过发行地方政府债券等多种方式拓宽城市建设融资渠道。省级政府举债使用方向要向新型城镇化倾斜。</w:t>
      </w:r>
      <w:r w:rsidRPr="002A7B09">
        <w:rPr>
          <w:rFonts w:ascii="微软雅黑" w:eastAsia="微软雅黑" w:hAnsi="微软雅黑" w:cs="宋体" w:hint="eastAsia"/>
          <w:color w:val="000000"/>
          <w:kern w:val="0"/>
          <w:sz w:val="27"/>
          <w:szCs w:val="27"/>
        </w:rPr>
        <w:br/>
        <w:t>    （二十六）强化金融支持。专项建设基金要扩大支持新型城镇化建设的覆盖面，安排专门资金定向支持城市基础设施和公共服务设施建设、特色小城镇功能提升等。鼓励开发银行、农业发展银行创新信贷模式和产品，针对新型城镇化项目设计差别化融资模式与偿债机制。鼓励商业银行开发面向新型城镇化的金融服务和产品。鼓励公共基金、保险资金等参与具有稳定收益的城市基础设施项目建设和运营。鼓励地方利用财政资金和社会资金设立城镇化发展基金，鼓励地方整合政府投资平台设立城镇化投资平台。支持城市政府推行基础设施和租赁房资产证券化，提高城市基础设施项目直接融资比重。</w:t>
      </w:r>
      <w:r w:rsidRPr="002A7B09">
        <w:rPr>
          <w:rFonts w:ascii="微软雅黑" w:eastAsia="微软雅黑" w:hAnsi="微软雅黑" w:cs="宋体" w:hint="eastAsia"/>
          <w:color w:val="000000"/>
          <w:kern w:val="0"/>
          <w:sz w:val="27"/>
          <w:szCs w:val="27"/>
        </w:rPr>
        <w:br/>
        <w:t>    八、完善城镇住房制度</w:t>
      </w:r>
      <w:r w:rsidRPr="002A7B09">
        <w:rPr>
          <w:rFonts w:ascii="微软雅黑" w:eastAsia="微软雅黑" w:hAnsi="微软雅黑" w:cs="宋体" w:hint="eastAsia"/>
          <w:color w:val="000000"/>
          <w:kern w:val="0"/>
          <w:sz w:val="27"/>
          <w:szCs w:val="27"/>
        </w:rPr>
        <w:br/>
        <w:t>    （二十七）建立购租并举的城镇住房制度。以满足新市民的住房需求为主要出发点，建立购房与租房并举、市场配置与政府保障相结合的住房制度，健全以市场为主满足多层次需求、以政府为主提供基本保障的住房供应体系。对具备购房能力的常住人口，支持其购买商品住房。</w:t>
      </w:r>
      <w:r w:rsidRPr="002A7B09">
        <w:rPr>
          <w:rFonts w:ascii="微软雅黑" w:eastAsia="微软雅黑" w:hAnsi="微软雅黑" w:cs="宋体" w:hint="eastAsia"/>
          <w:color w:val="000000"/>
          <w:kern w:val="0"/>
          <w:sz w:val="27"/>
          <w:szCs w:val="27"/>
        </w:rPr>
        <w:lastRenderedPageBreak/>
        <w:t>对不具备购房能力或没有购房意愿的常住人口，支持其通过住房租赁市场租房居住。对符合条件的低收入住房困难家庭，通过提供公共租赁住房或发放租赁补贴保障其基本住房需求。</w:t>
      </w:r>
      <w:r w:rsidRPr="002A7B09">
        <w:rPr>
          <w:rFonts w:ascii="微软雅黑" w:eastAsia="微软雅黑" w:hAnsi="微软雅黑" w:cs="宋体" w:hint="eastAsia"/>
          <w:color w:val="000000"/>
          <w:kern w:val="0"/>
          <w:sz w:val="27"/>
          <w:szCs w:val="27"/>
        </w:rPr>
        <w:br/>
        <w:t>    （二十八）完善城镇住房保障体系。住房保障采取实物与租赁补贴相结合并逐步转向租赁补贴为主。加快推广租赁补贴制度，采取市场提供房源、政府发放补贴的方式，支持符合条件的农业转移人口通过住房租赁市场租房居住。归并实物住房保障种类。完善住房保障申请、审核、公示、轮候、复核制度，严格保障性住房分配和使用管理，健全退出机制，确保住房保障体系公平、公正和健康运行。</w:t>
      </w:r>
      <w:r w:rsidRPr="002A7B09">
        <w:rPr>
          <w:rFonts w:ascii="微软雅黑" w:eastAsia="微软雅黑" w:hAnsi="微软雅黑" w:cs="宋体" w:hint="eastAsia"/>
          <w:color w:val="000000"/>
          <w:kern w:val="0"/>
          <w:sz w:val="27"/>
          <w:szCs w:val="27"/>
        </w:rPr>
        <w:br/>
        <w:t>    （二十九）加快发展专业化住房租赁市场。通过实施土地、规划、金融、税收等相关支持政策，培育专业化市场主体，引导企业投资购房用于租赁经营，支持房地产企业调整资产配置持有住房用于租赁经营，引导住房租赁企业和房地产开发企业经营新建租赁住房。支持专业企业、物业服务企业等通过租赁或购买社会闲置住房开展租赁经营，落实鼓励居民出租住房的税收优惠政策，激活存量住房租赁市场。鼓励商业银行开发适合住房租赁业务发展需要的信贷产品，在风险可控、商业可持续的原则下，对购买商品住房开展租赁业务的企业提供购房信贷支持。</w:t>
      </w:r>
      <w:r w:rsidRPr="002A7B09">
        <w:rPr>
          <w:rFonts w:ascii="微软雅黑" w:eastAsia="微软雅黑" w:hAnsi="微软雅黑" w:cs="宋体" w:hint="eastAsia"/>
          <w:color w:val="000000"/>
          <w:kern w:val="0"/>
          <w:sz w:val="27"/>
          <w:szCs w:val="27"/>
        </w:rPr>
        <w:br/>
        <w:t>    （三十）健全房地产市场调控机制。调整完善差别化住房信贷政策，发展个人住房贷款保险业务，提高对农民工等中低收入群体的住房金融服务水平。完善住房用地供应制度，优化住房供应结构。加强商品房预售管理，推行商品房买卖合同在线签订和备案制度，完善商品房交易资金监管机制。进一步提高城镇棚户区改造以及其他房屋征收项目货币化</w:t>
      </w:r>
      <w:r w:rsidRPr="002A7B09">
        <w:rPr>
          <w:rFonts w:ascii="微软雅黑" w:eastAsia="微软雅黑" w:hAnsi="微软雅黑" w:cs="宋体" w:hint="eastAsia"/>
          <w:color w:val="000000"/>
          <w:kern w:val="0"/>
          <w:sz w:val="27"/>
          <w:szCs w:val="27"/>
        </w:rPr>
        <w:lastRenderedPageBreak/>
        <w:t>安置比例。鼓励引导农民在中小城市就近购房。</w:t>
      </w:r>
      <w:r w:rsidRPr="002A7B09">
        <w:rPr>
          <w:rFonts w:ascii="微软雅黑" w:eastAsia="微软雅黑" w:hAnsi="微软雅黑" w:cs="宋体" w:hint="eastAsia"/>
          <w:color w:val="000000"/>
          <w:kern w:val="0"/>
          <w:sz w:val="27"/>
          <w:szCs w:val="27"/>
        </w:rPr>
        <w:br/>
        <w:t>    九、加快推进新型城镇化综合试点</w:t>
      </w:r>
      <w:r w:rsidRPr="002A7B09">
        <w:rPr>
          <w:rFonts w:ascii="微软雅黑" w:eastAsia="微软雅黑" w:hAnsi="微软雅黑" w:cs="宋体" w:hint="eastAsia"/>
          <w:color w:val="000000"/>
          <w:kern w:val="0"/>
          <w:sz w:val="27"/>
          <w:szCs w:val="27"/>
        </w:rPr>
        <w:br/>
        <w:t>    （三十一）深化试点内容。在建立农业转移人口市民化成本分担机制、建立多元化可持续城镇化投融资机制、改革完善农村宅基地制度、建立创新行政管理和降低行政成本的设市设区模式等方面加大探索力度，实现重点突破。鼓励试点地区有序建立进城落户农民农村土地承包权、宅基地使用权、集体收益分配权依法自愿有偿退出机制。有可能突破现行法规和政策的改革探索，在履行必要程序后，赋予试点地区相应权限。</w:t>
      </w:r>
      <w:r w:rsidRPr="002A7B09">
        <w:rPr>
          <w:rFonts w:ascii="微软雅黑" w:eastAsia="微软雅黑" w:hAnsi="微软雅黑" w:cs="宋体" w:hint="eastAsia"/>
          <w:color w:val="000000"/>
          <w:kern w:val="0"/>
          <w:sz w:val="27"/>
          <w:szCs w:val="27"/>
        </w:rPr>
        <w:br/>
        <w:t>    （三十二）扩大试点范围。按照向中西部和东北地区倾斜、向中小城市和小城镇倾斜的原则，组织开展第二批国家新型城镇化综合试点。有关部门在组织开展城镇化相关领域的试点时，要向国家新型城镇化综合试点地区倾斜，以形成改革合力。</w:t>
      </w:r>
      <w:r w:rsidRPr="002A7B09">
        <w:rPr>
          <w:rFonts w:ascii="微软雅黑" w:eastAsia="微软雅黑" w:hAnsi="微软雅黑" w:cs="宋体" w:hint="eastAsia"/>
          <w:color w:val="000000"/>
          <w:kern w:val="0"/>
          <w:sz w:val="27"/>
          <w:szCs w:val="27"/>
        </w:rPr>
        <w:br/>
        <w:t>    （三十三）加大支持力度。地方各级人民政府要营造宽松包容环境，支持试点地区发挥首创精神，推动顶层设计与基层探索良性互动、有机结合。国务院有关部门和省级人民政府要强化对试点地区的指导和支持，推动相关改革举措在试点地区先行先试，及时总结推广试点经验。各试点地区要制定实施年度推进计划，明确年度任务，建立健全试点绩效考核评价机制。</w:t>
      </w:r>
      <w:r w:rsidRPr="002A7B09">
        <w:rPr>
          <w:rFonts w:ascii="微软雅黑" w:eastAsia="微软雅黑" w:hAnsi="微软雅黑" w:cs="宋体" w:hint="eastAsia"/>
          <w:color w:val="000000"/>
          <w:kern w:val="0"/>
          <w:sz w:val="27"/>
          <w:szCs w:val="27"/>
        </w:rPr>
        <w:br/>
        <w:t>    十、健全新型城镇化工作推进机制</w:t>
      </w:r>
      <w:r w:rsidRPr="002A7B09">
        <w:rPr>
          <w:rFonts w:ascii="微软雅黑" w:eastAsia="微软雅黑" w:hAnsi="微软雅黑" w:cs="宋体" w:hint="eastAsia"/>
          <w:color w:val="000000"/>
          <w:kern w:val="0"/>
          <w:sz w:val="27"/>
          <w:szCs w:val="27"/>
        </w:rPr>
        <w:br/>
        <w:t>    （三十四）强化政策协调。国家发展改革委要依托推进新型城镇化工作部际联席会议制度，加强政策统筹协调，推动相关政策尽快出台实</w:t>
      </w:r>
      <w:r w:rsidRPr="002A7B09">
        <w:rPr>
          <w:rFonts w:ascii="微软雅黑" w:eastAsia="微软雅黑" w:hAnsi="微软雅黑" w:cs="宋体" w:hint="eastAsia"/>
          <w:color w:val="000000"/>
          <w:kern w:val="0"/>
          <w:sz w:val="27"/>
          <w:szCs w:val="27"/>
        </w:rPr>
        <w:lastRenderedPageBreak/>
        <w:t>施，强化对地方新型城镇化工作的指导。各地区要进一步完善城镇化工作机制，各级发展改革部门要统筹推进本地区新型城镇化工作，其他部门要积极主动配合，共同推动新型城镇化取得更大成效。</w:t>
      </w:r>
      <w:r w:rsidRPr="002A7B09">
        <w:rPr>
          <w:rFonts w:ascii="微软雅黑" w:eastAsia="微软雅黑" w:hAnsi="微软雅黑" w:cs="宋体" w:hint="eastAsia"/>
          <w:color w:val="000000"/>
          <w:kern w:val="0"/>
          <w:sz w:val="27"/>
          <w:szCs w:val="27"/>
        </w:rPr>
        <w:br/>
        <w:t>    （三十五）加强监督检查。有关部门要对各地区新型城镇化建设进展情况进行跟踪监测和监督检查，对相关配套政策实施效果进行跟踪分析和总结评估，确保政策举措落地生根。</w:t>
      </w:r>
      <w:r w:rsidRPr="002A7B09">
        <w:rPr>
          <w:rFonts w:ascii="微软雅黑" w:eastAsia="微软雅黑" w:hAnsi="微软雅黑" w:cs="宋体" w:hint="eastAsia"/>
          <w:color w:val="000000"/>
          <w:kern w:val="0"/>
          <w:sz w:val="27"/>
          <w:szCs w:val="27"/>
        </w:rPr>
        <w:br/>
        <w:t>    （三十六）强化宣传引导。各地区、各部门要广泛宣传推进新型城镇化的新理念、新政策、新举措，及时报道典型经验和做法，强化示范效应，凝聚社会共识，为推进新型城镇化营造良好的社会环境和舆论氛围。</w:t>
      </w:r>
    </w:p>
    <w:p w:rsidR="002A7B09" w:rsidRPr="002A7B09" w:rsidRDefault="002A7B09" w:rsidP="002A7B09">
      <w:pPr>
        <w:widowControl/>
        <w:shd w:val="clear" w:color="auto" w:fill="FFFFFF"/>
        <w:jc w:val="left"/>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国务院</w:t>
      </w:r>
      <w:r w:rsidRPr="002A7B09">
        <w:rPr>
          <w:rFonts w:ascii="微软雅黑" w:eastAsia="微软雅黑" w:hAnsi="微软雅黑" w:cs="宋体" w:hint="eastAsia"/>
          <w:color w:val="000000"/>
          <w:kern w:val="0"/>
          <w:sz w:val="27"/>
          <w:szCs w:val="27"/>
        </w:rPr>
        <w:br/>
        <w:t>  </w:t>
      </w:r>
      <w:r>
        <w:rPr>
          <w:rFonts w:ascii="微软雅黑" w:eastAsia="微软雅黑" w:hAnsi="微软雅黑" w:cs="宋体" w:hint="eastAsia"/>
          <w:color w:val="000000"/>
          <w:kern w:val="0"/>
          <w:sz w:val="27"/>
          <w:szCs w:val="27"/>
        </w:rPr>
        <w:t xml:space="preserve">　　　　　　　　　　　　　　　　　　　　　　</w:t>
      </w:r>
      <w:r w:rsidRPr="002A7B09">
        <w:rPr>
          <w:rFonts w:ascii="微软雅黑" w:eastAsia="微软雅黑" w:hAnsi="微软雅黑" w:cs="宋体" w:hint="eastAsia"/>
          <w:color w:val="000000"/>
          <w:kern w:val="0"/>
          <w:sz w:val="27"/>
          <w:szCs w:val="27"/>
        </w:rPr>
        <w:t>2016年2月2日</w:t>
      </w:r>
    </w:p>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Pr>
        <w:pStyle w:val="2"/>
        <w:jc w:val="center"/>
      </w:pPr>
      <w:bookmarkStart w:id="118" w:name="_Toc12864269"/>
      <w:r>
        <w:rPr>
          <w:rFonts w:hint="eastAsia"/>
        </w:rPr>
        <w:t>3</w:t>
      </w:r>
      <w:r>
        <w:rPr>
          <w:rFonts w:hint="eastAsia"/>
        </w:rPr>
        <w:t>、农村基础设施及农业</w:t>
      </w:r>
      <w:bookmarkEnd w:id="118"/>
    </w:p>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2A7B09" w:rsidP="002A7B09"/>
    <w:p w:rsidR="002A7B09" w:rsidRDefault="009019B6" w:rsidP="009019B6">
      <w:pPr>
        <w:pStyle w:val="3"/>
        <w:jc w:val="center"/>
        <w:rPr>
          <w:sz w:val="30"/>
          <w:szCs w:val="30"/>
        </w:rPr>
      </w:pPr>
      <w:bookmarkStart w:id="119" w:name="_Toc12864270"/>
      <w:r w:rsidRPr="009019B6">
        <w:rPr>
          <w:rFonts w:hint="eastAsia"/>
          <w:sz w:val="30"/>
          <w:szCs w:val="30"/>
        </w:rPr>
        <w:lastRenderedPageBreak/>
        <w:t>国家发展改革委办公厅关于开展第二批国家农村产业融合发展示范园创建工作的通知（发改办农经〔</w:t>
      </w:r>
      <w:r w:rsidRPr="009019B6">
        <w:rPr>
          <w:rFonts w:hint="eastAsia"/>
          <w:sz w:val="30"/>
          <w:szCs w:val="30"/>
        </w:rPr>
        <w:t>2019</w:t>
      </w:r>
      <w:r w:rsidRPr="009019B6">
        <w:rPr>
          <w:rFonts w:hint="eastAsia"/>
          <w:sz w:val="30"/>
          <w:szCs w:val="30"/>
        </w:rPr>
        <w:t>〕</w:t>
      </w:r>
      <w:r w:rsidRPr="009019B6">
        <w:rPr>
          <w:rFonts w:hint="eastAsia"/>
          <w:sz w:val="30"/>
          <w:szCs w:val="30"/>
        </w:rPr>
        <w:t>334</w:t>
      </w:r>
      <w:r w:rsidRPr="009019B6">
        <w:rPr>
          <w:rFonts w:hint="eastAsia"/>
          <w:sz w:val="30"/>
          <w:szCs w:val="30"/>
        </w:rPr>
        <w:t>号）</w:t>
      </w:r>
      <w:bookmarkEnd w:id="119"/>
    </w:p>
    <w:p w:rsidR="009019B6" w:rsidRPr="009019B6" w:rsidRDefault="009019B6" w:rsidP="009019B6">
      <w:pPr>
        <w:widowControl/>
        <w:shd w:val="clear" w:color="auto" w:fill="FFFFFF"/>
        <w:spacing w:before="225"/>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各省、自治区、直辖市及计划单列市、新疆生产建设兵团发展改革委：</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为贯彻落实中央经济工作会议、中央农村工作会议和今年中央一号文件精神，按照《国家农村产业融合发展示范园认定管理办法（试行）》，经商农业农村部、工业和信息化部、财政部、自然资源部、商务部、文化和旅游部，现就开展第二批国家农村产业融合发展示范园创建工作有关事项通知如下。</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一、总体要求</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指导思想。认真落实党中央、国务院决策部署，牢固树立和贯彻创新、协调、绿色、开放、共享的发展理念，以深入推进农业供给侧结构性改革、加快培育农村发展新动能为主线，以完善利益联结机制为核心，以要素集聚和模式创新为动力，以农村产业融合发展示范园建设为抓手，着力打造农村产业融合发展的示范样板和平台载体，努力构建农业与二三产业交叉融合的现代农业产业体系，充分发挥示范引领作用，带动农村一二三产业融合发展，促进农业增效、农民增收、农村繁荣。</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（二）基本原则。</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——坚持政府引导、市场主导。充分发挥市场配置资源的决定性作用，更好发挥政府作用，营造良好市场环境，加快培育市场主体，打破</w:t>
      </w:r>
      <w:r w:rsidRPr="009019B6">
        <w:rPr>
          <w:rFonts w:ascii="微软雅黑" w:eastAsia="微软雅黑" w:hAnsi="微软雅黑" w:cs="宋体" w:hint="eastAsia"/>
          <w:color w:val="000000"/>
          <w:kern w:val="0"/>
          <w:sz w:val="27"/>
          <w:szCs w:val="27"/>
        </w:rPr>
        <w:lastRenderedPageBreak/>
        <w:t>要素瓶颈制约和体制机制障碍，积极吸引社会资本投入，激发产业融合发展活力。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因地制宜、创新发展。根据不同地区资源禀赋、产业基础、区位优势等，探索符合本地区特点、形式多样的产业融合模式和可复制、可推广的经验。发挥首创精神，坚持在特色上做文章，避免同质化发展和重复建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利益联结、惠农富农。始终坚持把农民更多分享增值收益作为基本出发点，建立健全入园企业、项目与农户间紧密的利益联结机制，着力增强农民参与融合能力，让农民更多分享产业融合发展的增值收益。充分发挥示范带动作用，引领带动农民就业创业和增收致富。</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严格标准、宁缺勿滥。充分考虑本省（区、市）实际，坚持高起点、高标准确定农村产业融合发展示范园创建条件，通过竞争性选拔择优推荐，确保少而精。建立健全能进能出的动态管理机制，根据创建工作考核结果实行淘汰制度，对示范效果不显著的及时撤销创建资格。</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主要目标。2019年创建第二批100个融合特色鲜明、产业集聚发展、利益联结紧密、配套服务完善、组织管理高效、示范作用显著的农村产业融合发展示范园，实现多模式融合、多类型示范，并通过复制推广先进经验，加快延伸农业产业链、提升农业价值链、拓展农业多种功能、培育农村新产业新业态。</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二、示范任务</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四）探索多种产业融合模式，构建现代农业产业体系。通过推进农业内部融合、延伸农业产业链、拓展农业多种功能、发展农业新型业态、促进产城融合等多种形式，结合当地资源禀赋、风土人情等实际，探索并总结一批适合不同地区的农村产业融合模式，加快发展根植于农业农村、由当地农民主办、彰显地域特色和乡村价值的产业体系。</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培育多元化产业融合主体，激发产业融合发展活力。加快培育有经济实力、发展活力和带动能力的经营主体，探索农民合作社、家庭农场、种养大户等在农村产业融合中更好发挥作用的有效途径，鼓励农民合作社发展农产品加工、销售，鼓励家庭农场、种养大户开展农产品直销。支持龙头企业通过直接投资、参股经营、签订长期供销合同等方式建设标准化、规模化原料生产基地以及营销设施，带动农户和农民合作社发展适度规模经营。</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健全利益联结机制，让农民更多分享产业增值收益。加快推广“订单收购+分红”“土地流转+优先雇用+社会保障”“农民入股+保底收益+按股分红”等多种利益联结方式，让农户分享加工、销售环节收益。鼓励行业协会或龙头企业与合作社、家庭农场、普通农户等组织共同营销，开展农产品销售推介和品牌运作，让农户更多分享产业链增值收益。鼓励农业产业化龙头企业通过设立风险资金、为农户提供信贷担保、领办或参办农民合作组织等多种形式，与农民建立稳定的订单和契约关系。将示范园打造成为易地扶贫搬迁配套产业和促进就业的重</w:t>
      </w:r>
      <w:r w:rsidRPr="009019B6">
        <w:rPr>
          <w:rFonts w:ascii="微软雅黑" w:eastAsia="微软雅黑" w:hAnsi="微软雅黑" w:cs="宋体" w:hint="eastAsia"/>
          <w:color w:val="000000"/>
          <w:kern w:val="0"/>
          <w:sz w:val="27"/>
          <w:szCs w:val="27"/>
        </w:rPr>
        <w:lastRenderedPageBreak/>
        <w:t>要载体，强化脱贫攻坚产业支撑，完善带贫减贫机制，辐射和带动贫困户实现“搬得出、稳得住、能脱贫”。</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七）创新体制机制，破解产业融合发展瓶颈约束。按照企业主导、政府支持、社会参与、市场运作的原则，完善农村产业融合投融资体制机制，吸引社会资本投入农村产业融合发展示范园建设和运营。鼓励金融机构与农村产业融合发展示范园建立紧密合作关系，推广产业链金融模式，加大信贷支持。引导农村集体经济组织挖掘集体土地、房屋、设施等资源和资产潜力，依法通过股份制、合作制、股份合作制、租赁等形式，积极参与产业融合发展。</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三、申报创建类型、数量、条件与程序</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八）创建类型。各地要结合本地区实际，充分挖掘地域特色，围绕农业内部融合、产业链延伸、功能拓展、新技术渗透、产城融合、多业态复合等六种类型，有针对性地创建农村产业融合发展示范园。为统筹整合资源，强化示范效应，已认定或正在创建的农业产业园、农业科技园等园区，符合条件的，也可申请创建农村产业融合发展示范园。为提高示范园创建的多样性，确保多出经验，避免类型过于单一或雷同，各省（区、市）要尽可能选择不同类型进行试点示范，每种类型最多选择1个。</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（九）申报数量。2018年农林牧渔业总产值超过5000亿元的省（区）申报创建数量不超过5个（含首批未通过认定但保留创建资格的单位，</w:t>
      </w:r>
      <w:r w:rsidRPr="009019B6">
        <w:rPr>
          <w:rFonts w:ascii="微软雅黑" w:eastAsia="微软雅黑" w:hAnsi="微软雅黑" w:cs="宋体" w:hint="eastAsia"/>
          <w:color w:val="000000"/>
          <w:kern w:val="0"/>
          <w:sz w:val="27"/>
          <w:szCs w:val="27"/>
        </w:rPr>
        <w:lastRenderedPageBreak/>
        <w:t>下同），其他省（区）不超过3个，直辖市和新疆生产建设兵团不超过2个，计划单列市不超过1个。</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申报条件。国家农村产业融合发展示范园原则上由县级政府申报创建，对隶属于地市级政府的项目应由地市级政府申报创建，每个县（市、区、旗、农场）或地市政府只能申报创建1个国家农村产业融合发展示范园。申报创建国家农村产业融合发展示范园应符合以下基本条件：申报县（市、区、旗、农场）或地市高度重视农村产业融合发展工作，已成立由本级政府主要领导挂帅的领导小组，并明确具体的示范园管理机构；具备较好的产业融合发展基础或特色产业优势，且建设示范园的意愿明确；示范园发展思路清晰、功能定位明确，用地符合国土空间规划（土地利用总体规划）、建设水平领先，产业特色鲜明、融合模式新颖，配套设施完善、组织管理高效，利益联结紧密，对区域内农民有较强的增收带动效应，具有较强的示范、引导和带动作用。具体创建条件由各省（区、市）根据上述要求，结合本地实际细化确定。各地区申报创建单位应适度向贫困县、“三区三州”深度贫困地区倾斜。同等条件下，优先支持农村产业融合发展试点示范县创建农村产业融合发展示范园。</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一）申报创建程序。由县（市、区、旗、农场）或地市政府根据本省（区、市）创建条件，组织承建单位编制国家农村产业融合发展示范园创建方案，向省级发展改革委提出创建申请。省级发展改革委组织相关部门或专家对创建方案进行评审，按照本省区示范园申报控制数</w:t>
      </w:r>
      <w:r w:rsidRPr="009019B6">
        <w:rPr>
          <w:rFonts w:ascii="微软雅黑" w:eastAsia="微软雅黑" w:hAnsi="微软雅黑" w:cs="宋体" w:hint="eastAsia"/>
          <w:color w:val="000000"/>
          <w:kern w:val="0"/>
          <w:sz w:val="27"/>
          <w:szCs w:val="27"/>
        </w:rPr>
        <w:lastRenderedPageBreak/>
        <w:t>量，择优确定示范园名单，并上报国家发展改革委，国家发展改革委汇总后会同有关部门公布创建名单。按照“当年先创建、次年再认定”的原则，由县（市、区、旗、农场）或地市政府根据国家有关部门公布的示范园名单，按照省级发展改革委评审通过的创建方案，组织开展示范园创建工作。创建工作满一年后，由省级发展改革委会同有关部门组织开展初评并将初评结果上报国家发展改革委。国家发展改革委会同有关部门，采取委托第三方机构考核打分、召开专家评审会议评价论证等方式，正式认定国家农村产业融合发展示范园。对创建工作已取得一定成效但未通过认定的，可保留创建资格一年，待下一年度再次参评，届时仍未通过认定的，撤销创建资格。</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（十二）申报材料。申报创建示范园应当报送以下材料，一是示范园创建申报书，二是示范园创建实施方案，三是示范园用地情况等其他相关配套材料。</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四、保障措施</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三）加大项目资金支持力度。鼓励县（市、区、旗、农场）或地市政府以国家农村产业融合发展示范园为重点，在不改变资金用途和管理要求的基础上，统筹利用各项涉农资金支持示范园符合条件的项目建设，完善示范园供水、供电、道路、通信、仓储物流、垃圾污水处理、环境美化绿化等设施条件。鼓励地方各级政府优先安排资金，支持示范园基础设施和公共服务平台建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十四）优先支持发行企业债券。支持国家农村产业融合发展园区的入园农业产业化龙头企业，优先申报发行农村产业融合发展专项企业债券，为园区基础设施建设、新型农业经营主体发展开拓长期、稳定、规模化的融资渠道。支持农村产业融合发展示范园以小微企业增信集合债券形式发行农村产业融合发展专项企业债券，募集资金用于农村产业融合小微企业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五）鼓励设立产业投资基金。鼓励有条件的地方，根据发展需要与财力可能，按照市场化方式，依法发起设立产业投资基金，按照市场运作、专业管理、科学决策、防范风险的原则，吸引和带动社会资本、金融机构、国有企业参与投资，加大对国家农村产业融合发展示范园的投入力度，充分发挥政府资金的引导作用和放大效应。</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（十六）鼓励地方加大融资支持。鼓励各地引导银行业金融机构加大对国家农村产业融合发展示范园入园企业的贷款投放。鼓励各地建立健全 “政银担”合作机制，引导担保机构为国家农村产业融合发展示范园入园企业贷款、发行企业债券等进行担保增信，建立多层次风险缓释措施和风险分担机制。</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七）完善用地保障机制。根据研究明确的农村产业融合发展用地政策，指导各地在农村产业融合发展示范园建设中做好用地保障。将农村产业融合发展示范园纳入土地利用总体规划统筹安排，在年度土地利用计划安排上予以倾斜支持，依法依规办理用地手续；鼓励按照国家有关规定，通过城乡建设用地增减挂钩、工矿废弃地复垦利用、依法利</w:t>
      </w:r>
      <w:r w:rsidRPr="009019B6">
        <w:rPr>
          <w:rFonts w:ascii="微软雅黑" w:eastAsia="微软雅黑" w:hAnsi="微软雅黑" w:cs="宋体" w:hint="eastAsia"/>
          <w:color w:val="000000"/>
          <w:kern w:val="0"/>
          <w:sz w:val="27"/>
          <w:szCs w:val="27"/>
        </w:rPr>
        <w:lastRenderedPageBreak/>
        <w:t>用存量建设用地等途径，多渠道保障示范园用地需求。结合村庄规划编制和实施，加强乡村建设规划许可管理，整合有关审批职能，优化审查流程，支持农村产业融合发展。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八）支持政府与社会资本合作。支持县（市、区、旗、农场）、地市政府创新农村产业融合发展示范园建管模式，通过PPP等方式建设农村产业融合发展示范园，撬动更多金融和社会资本投入示范园建设和运营。</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九）加强产业融合公共服务。搭建农村综合性信息化服务平台，提供电子商务、休闲农业与乡村旅游、农业物联网、价格信息、公共营销等服务。优化创业孵化平台，提供设计、创意、技术、市场、融资等定制化解决方案等服务。建设农村产权流转交易市场，促进农村承包土地经营权依法有序流转。</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五、工作要求</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加强组织领导。各省（区、市）发展改革委要会同农业农村、工业和信息化、财政、自然资源、商务、文化和旅游等部门切实加强组织领导，把创建国家农村产业融合发展示范园摆上重要工作日程，落实责任人，细化工作方案和创建条件，抓紧组织开展创建工作。有创建意愿的县（市、区、旗、农场）或地市政府要抓紧成立专班，组织开展创建方案编制和审核筛选工作，并按要求尽快向省级发展改革委申报。</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（二十一）强化协调指导。各省（区、市）发展改革委要会同有关部门加强调查研究、工作指导和业务培训，积极主动解读农村产业融合</w:t>
      </w:r>
      <w:r w:rsidRPr="009019B6">
        <w:rPr>
          <w:rFonts w:ascii="微软雅黑" w:eastAsia="微软雅黑" w:hAnsi="微软雅黑" w:cs="宋体" w:hint="eastAsia"/>
          <w:color w:val="000000"/>
          <w:kern w:val="0"/>
          <w:sz w:val="27"/>
          <w:szCs w:val="27"/>
        </w:rPr>
        <w:lastRenderedPageBreak/>
        <w:t>发展相关文件精神，帮助县级或地市政府做好示范园创建方案编制工作。加强部门协同，积极推动土地、财政、科技、金融及相关行业主管部门加大对示范园的支持力度，形成工作合力。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二）明确工作进度。有创建意愿的县（市、区、旗、农场）或地市政府，要于3月下旬前编制完成示范园创建方案并向省级发展改革委申报。省级发展改革委要于4月5日前商有关部门完成示范园创建方案评审工作，并将评审确定的示范园名单上报国家发展改革委。逾期未报的，视同放弃创建。</w:t>
      </w:r>
    </w:p>
    <w:p w:rsidR="009019B6" w:rsidRPr="009019B6" w:rsidRDefault="009019B6" w:rsidP="009019B6">
      <w:pPr>
        <w:widowControl/>
        <w:shd w:val="clear" w:color="auto" w:fill="FFFFFF"/>
        <w:ind w:firstLine="480"/>
        <w:jc w:val="righ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国家发展改革委办公厅</w:t>
      </w:r>
      <w:r w:rsidRPr="009019B6">
        <w:rPr>
          <w:rFonts w:ascii="微软雅黑" w:eastAsia="微软雅黑" w:hAnsi="微软雅黑" w:cs="宋体" w:hint="eastAsia"/>
          <w:color w:val="000000"/>
          <w:kern w:val="0"/>
          <w:sz w:val="27"/>
          <w:szCs w:val="27"/>
        </w:rPr>
        <w:br/>
        <w:t>2019年3月15日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0" w:name="_Toc12864271"/>
      <w:r w:rsidRPr="009019B6">
        <w:rPr>
          <w:rFonts w:hint="eastAsia"/>
          <w:sz w:val="30"/>
          <w:szCs w:val="30"/>
        </w:rPr>
        <w:lastRenderedPageBreak/>
        <w:t>农业农村部等六部委关于开展土地经营权入股发展农业产业化经营试点的指导意见（农产发〔</w:t>
      </w:r>
      <w:r w:rsidRPr="009019B6">
        <w:rPr>
          <w:rFonts w:hint="eastAsia"/>
          <w:sz w:val="30"/>
          <w:szCs w:val="30"/>
        </w:rPr>
        <w:t>2018</w:t>
      </w:r>
      <w:r w:rsidRPr="009019B6">
        <w:rPr>
          <w:rFonts w:hint="eastAsia"/>
          <w:sz w:val="30"/>
          <w:szCs w:val="30"/>
        </w:rPr>
        <w:t>〕</w:t>
      </w:r>
      <w:r w:rsidRPr="009019B6">
        <w:rPr>
          <w:rFonts w:hint="eastAsia"/>
          <w:sz w:val="30"/>
          <w:szCs w:val="30"/>
        </w:rPr>
        <w:t>4</w:t>
      </w:r>
      <w:r w:rsidRPr="009019B6">
        <w:rPr>
          <w:rFonts w:hint="eastAsia"/>
          <w:sz w:val="30"/>
          <w:szCs w:val="30"/>
        </w:rPr>
        <w:t>号）</w:t>
      </w:r>
      <w:bookmarkEnd w:id="120"/>
    </w:p>
    <w:p w:rsidR="009019B6" w:rsidRPr="009019B6" w:rsidRDefault="009019B6" w:rsidP="009019B6">
      <w:pPr>
        <w:widowControl/>
        <w:spacing w:before="450" w:line="540" w:lineRule="atLeast"/>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各省、自治区、直辖市及新疆生产建设兵团农业农村、发展改革、财政、市场监督管理部门，中国人民银行上海总部、各分行、营业管理部、各省会（首府）城市中心支行，国家税务总局各省、自治区、直辖市和计划单列市税务局：</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为贯彻落实党的十九大精神和十八届三中全会部署，按照《中共中央办公厅 国务院办公厅关于完善农村土地所有权承包权经营权分置办法的意见》要求，指导各地稳妥开展土地（指农户家庭承包地）经营权入股发展农业产业化经营试点工作，促进乡村振兴，提出如下意见。</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一、充分认识土地经营权入股发展农业产业化经营的重要意义</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一）土地经营权入股是用活土地经营权的有效形式。推行土地经营权入股，是深化农村土地制度改革的重要措施。土地经营权入股龙头企业和作价出资农民专业合作社（以下统称土地经营权入股），使农民拥有更多的流转方式选择，让农民分享农业全产业链利润，拓展农民财产性收入来源。同时，也让龙头企业、农民专业合作社获得土地经营权，在更大范围、更高层次上推进农业产业化经营。</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lastRenderedPageBreak/>
        <w:t>（二）土地经营权入股是促进适度规模经营的重要途径。土地经营权入股，便于土地集中连片，实现规模化经营、标准化生产；便于培育开展适度规模经营的龙头企业和农民专业合作社，为其发展提供物质条件；便于促进农户、家庭农场、龙头企业、农民专业合作社之间构建优势互补、利益共享、风险共担的联结机制，促进适度规模经营的长期稳定，实现小农户和现代农业发展有机衔接。</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三）土地经营权入股能够增强乡村产业振兴的发展动能。乡村产业振兴需要资金、技术、人才等资源要素聚集。土地经营权入股龙头企业和农民专业合作社，促进土地与资金、技术等现代生产要素有机结合，建设原料基地，培育特色产业，发展农产品加工业，促进农村一二三产业融合发展，壮大乡村产业，助力乡村振兴。</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二、准确把握土地经营权入股发展农业产业化经营的基本原则</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一）落实“三权分置”，严守政策底线。坚持农村土地集体所有权，依法维护农民集体对承包地的各项权能。严格保护农户承包权，任何组织和个人都不能取代农民家庭的土地承包地位，都不能非法剥夺和限制农户的土地承包权。放活土地经营权，依法平等保护经营主体依流转合同取得的经营权，保障其有稳定的经营预期。</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（二）遵循市场规律，发挥政府作用。坚持市场在资源配置中的决定性作用，要客观反映土地等要素的实际贡献和稀缺程度，按照市场规</w:t>
      </w:r>
      <w:r w:rsidRPr="009019B6">
        <w:rPr>
          <w:rFonts w:ascii="微软雅黑" w:eastAsia="微软雅黑" w:hAnsi="微软雅黑" w:cs="宋体" w:hint="eastAsia"/>
          <w:color w:val="333333"/>
          <w:kern w:val="0"/>
          <w:sz w:val="27"/>
          <w:szCs w:val="27"/>
        </w:rPr>
        <w:lastRenderedPageBreak/>
        <w:t>则协商确定入股各方的权利义务和利益分配。更好发挥政府作用，完善土地经营权入股相关政策措施，确保农民的知情权、参与权、监督权和收益权，平等保护各方合法权益。</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三）因地制宜推进，循序渐进发展。充分考虑地域差异、经济基础及农村劳动力转移等因素，根据实际情况适度开展土地经营权入股。鼓励探索形式多样、符合实际的入股方式，不搞强迫命令、盲目攀比和“一刀切”，要边试点、边总结、边发展。</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四）强化风险管控，维护农民利益。土地经营权入股期限不能超过土地承包剩余期限，入股的土地不能改变土地性质和用途，不能降低耕地的基础地力，严禁入股土地“非农化”。鼓励有条件的地方探索建立土地经营权入股风险防范制度。鼓励实行“保底收益+按股分红”，让农民特别是贫困户在土地经营权入股中有稳定收益。</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三、明确土地经营权入股发展农业产业化经营的重点任务</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一）创新土地经营权入股的实现形式。根据公司股东、农民专业合作社成员等各方的意愿和要求，合理确定土地经营权入股的形式，培育一批土地经营权出资发展农业产业化经营的公司、农民专业合作社。农户的土地经营权可以依法直接对公司和农民专业合作社出资，还可以先出资设立农民专业合作社，再由农民专业合作社以土地经营权出资设立公司。发挥土地经营权入股对脱贫攻坚的重要作用，有关财政资金在</w:t>
      </w:r>
      <w:r w:rsidRPr="009019B6">
        <w:rPr>
          <w:rFonts w:ascii="微软雅黑" w:eastAsia="微软雅黑" w:hAnsi="微软雅黑" w:cs="宋体" w:hint="eastAsia"/>
          <w:color w:val="333333"/>
          <w:kern w:val="0"/>
          <w:sz w:val="27"/>
          <w:szCs w:val="27"/>
        </w:rPr>
        <w:lastRenderedPageBreak/>
        <w:t>不改变用途的情况下，所形成的资产具备条件的可折股量化给贫困村和贫困户，探索财政资金形成资产股权量化和土地经营权入股联动的有效方式，建立公司、农民专业合作社与农户特别是贫困户的紧密利益联结机制。</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二）完善土地股份组织运行机制。探索建立公平合理的土地经营权评估作价机制，作价应考虑土地数量质量、入股期限长短、不同要素比价等因素，参考有关部门发布的土地经营权流转指导价格，由公司股东、农民专业合作社成员等各方协商确定。土地经营权入股公司的，提倡同股同权同责，按股份比例分享决策权、分取收益、承担责任；经全体公司股东约定或公司章程规定，也可实行股、权、责差异化配置，但应符合权利义务对等原则。加强公司、农民专业合作社财务管理规范化建设，财务情况依法向农户（成员）公开。保障公司、农民专业合作社对入股土地经营权的正常合法行使，经农户或其委托代理人书面同意并向村民委员会或集体经济组织书面备案，可以依法依规对土地集中连片整理改造和对土地经营权进行再流转和抵押。妥善处理农户退出问题，探索通过限定最短入股期限、调换地块等方式，稳定公司、农民专业合作社对土地经营的预期。公司、农民专业合作社破产清算后，农户可以按照有关法律法规或公司、农民专业合作社章程规定回购土地经营权。</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（三）探索土地经营权入股风险防范措施。村民委员会或集体经济组织应对承包农户土地经营权入股进行书面备案，对公司、农民专业合作社使用承包地进行监督。探索“优先股”，让农民在让渡公司经营决</w:t>
      </w:r>
      <w:r w:rsidRPr="009019B6">
        <w:rPr>
          <w:rFonts w:ascii="微软雅黑" w:eastAsia="微软雅黑" w:hAnsi="微软雅黑" w:cs="宋体" w:hint="eastAsia"/>
          <w:color w:val="333333"/>
          <w:kern w:val="0"/>
          <w:sz w:val="27"/>
          <w:szCs w:val="27"/>
        </w:rPr>
        <w:lastRenderedPageBreak/>
        <w:t>策权的同时享有优先分红的权利；探索“先租后股”，让农民先出租土地，在公司、农民专业合作社具有稳定良好的经济效益之后再入股。发挥保险化解风险的作用，探索“入股履约保证保险”等多种土地经营权入股保险，为农民的“保底收益”和土地经营权回购提供保险保障；加强农业保险，增强公司、农民专业合作社抗风险能力。</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四、强化土地经营权入股发展农业产业化经营的政策保障</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一）推进登记颁证。加快完成农村承包地确权登记颁证，建立完善土地经营权价格评估体系，建立健全土地经营权流转市场，做好土地承包经营纠纷调解仲裁工作，为土地经营权入股提供保障。以土地经营权入股公司，注册资本实行认缴登记制，由申请人对入股的注册资本数额、合法性、真实性负责；法律法规规定实缴的，按照注册资本实缴登记的有关规定执行。允许农民以土地经营权作价出资加入农民专业合作社，依法予以登记，由申请成员对土地经营权合法性负责。</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二）加强指导服务。各省（区、市）农业农村部门要牵头组织开展土地经营权入股试点工作，对已经开展试点的县（市、区）和有关公司、农民专业合作社做好跟踪指导，在尚未开展试点的地方适时选择一批具备条件的公司、农民专业合作社开展试点。鼓励探索对农民以土地经营权入股进行风险提示的办法。加强对土地经营权入股的日常指导、调查监测，妥善处理入股中的各种纠纷，依法保护农户、家庭农场、公司、农民专业合作社等各方的合法权益。引导土地经营权入股的公司、</w:t>
      </w:r>
      <w:r w:rsidRPr="009019B6">
        <w:rPr>
          <w:rFonts w:ascii="微软雅黑" w:eastAsia="微软雅黑" w:hAnsi="微软雅黑" w:cs="宋体" w:hint="eastAsia"/>
          <w:color w:val="333333"/>
          <w:kern w:val="0"/>
          <w:sz w:val="27"/>
          <w:szCs w:val="27"/>
        </w:rPr>
        <w:lastRenderedPageBreak/>
        <w:t>作价出资的农民专业合作社依托国家企业信用信息公示系统依法主动公示相关信息，通过跨部门、跨行业联合监管，督促其合法规范经营。</w:t>
      </w:r>
    </w:p>
    <w:p w:rsidR="009019B6" w:rsidRPr="009019B6" w:rsidRDefault="009019B6" w:rsidP="009019B6">
      <w:pPr>
        <w:widowControl/>
        <w:spacing w:before="450" w:line="540" w:lineRule="atLeast"/>
        <w:ind w:firstLine="480"/>
        <w:jc w:val="lef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三）加大支持力度。各级农业农村部门要与发改、财政、人行、税务、市场监管、银保监等部门沟通协调，进一步支持土地经营权入股发展农业产业化经营。将符合条件的土地经营权入股的公司、作价出资的农民专业合作社纳入相关财政支农政策、农业信贷担保体系支持范围。推动解决公司、农民专业合作社抵押物少、贷款难的问题，鼓励商业保险机构开发适应土地经营权入股需求的保险产品。落实涉企和农民专业合作社的税收优惠政策。总结入股的做法和成效，形成可复制、能推广的经验和举措，加大对先进典型的宣传推广力度，引导土地经营权入股发展农业产业化经营试点有序推进。</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农业农村部</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国家发展改革委</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财政部</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中国人民银行</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国家税务总局</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t>国家市场监督管理总局</w:t>
      </w:r>
    </w:p>
    <w:p w:rsidR="009019B6" w:rsidRPr="009019B6" w:rsidRDefault="009019B6" w:rsidP="009019B6">
      <w:pPr>
        <w:widowControl/>
        <w:spacing w:before="450" w:line="540" w:lineRule="atLeast"/>
        <w:ind w:firstLine="480"/>
        <w:jc w:val="right"/>
        <w:rPr>
          <w:rFonts w:ascii="微软雅黑" w:eastAsia="微软雅黑" w:hAnsi="微软雅黑" w:cs="宋体"/>
          <w:color w:val="333333"/>
          <w:kern w:val="0"/>
          <w:sz w:val="27"/>
          <w:szCs w:val="27"/>
        </w:rPr>
      </w:pPr>
      <w:r w:rsidRPr="009019B6">
        <w:rPr>
          <w:rFonts w:ascii="微软雅黑" w:eastAsia="微软雅黑" w:hAnsi="微软雅黑" w:cs="宋体" w:hint="eastAsia"/>
          <w:color w:val="333333"/>
          <w:kern w:val="0"/>
          <w:sz w:val="27"/>
          <w:szCs w:val="27"/>
        </w:rPr>
        <w:lastRenderedPageBreak/>
        <w:t>2018年12月19日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1" w:name="_Toc12864272"/>
      <w:r w:rsidRPr="009019B6">
        <w:rPr>
          <w:rFonts w:hint="eastAsia"/>
          <w:sz w:val="30"/>
          <w:szCs w:val="30"/>
        </w:rPr>
        <w:lastRenderedPageBreak/>
        <w:t>农业农村部</w:t>
      </w:r>
      <w:r w:rsidRPr="009019B6">
        <w:rPr>
          <w:rFonts w:hint="eastAsia"/>
          <w:sz w:val="30"/>
          <w:szCs w:val="30"/>
        </w:rPr>
        <w:t xml:space="preserve"> </w:t>
      </w:r>
      <w:r w:rsidRPr="009019B6">
        <w:rPr>
          <w:rFonts w:hint="eastAsia"/>
          <w:sz w:val="30"/>
          <w:szCs w:val="30"/>
        </w:rPr>
        <w:t>财政部关于实施绿色循环优质高效特色农业促进项目的通知（农财发〔</w:t>
      </w:r>
      <w:r w:rsidRPr="009019B6">
        <w:rPr>
          <w:rFonts w:hint="eastAsia"/>
          <w:sz w:val="30"/>
          <w:szCs w:val="30"/>
        </w:rPr>
        <w:t>2018</w:t>
      </w:r>
      <w:r w:rsidRPr="009019B6">
        <w:rPr>
          <w:rFonts w:hint="eastAsia"/>
          <w:sz w:val="30"/>
          <w:szCs w:val="30"/>
        </w:rPr>
        <w:t>〕</w:t>
      </w:r>
      <w:r w:rsidRPr="009019B6">
        <w:rPr>
          <w:rFonts w:hint="eastAsia"/>
          <w:sz w:val="30"/>
          <w:szCs w:val="30"/>
        </w:rPr>
        <w:t>22</w:t>
      </w:r>
      <w:r w:rsidRPr="009019B6">
        <w:rPr>
          <w:rFonts w:hint="eastAsia"/>
          <w:sz w:val="30"/>
          <w:szCs w:val="30"/>
        </w:rPr>
        <w:t>号）</w:t>
      </w:r>
      <w:bookmarkEnd w:id="121"/>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各有关省、自治区农业（农牧、农村经济）厅（委）、财政厅（局）：</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根据中央农村工作会议、中央1号文件有关部署要求，为推动质量兴农、绿色兴农，深化</w:t>
      </w:r>
      <w:hyperlink r:id="rId109" w:tgtFrame="_blank" w:history="1">
        <w:r w:rsidRPr="009019B6">
          <w:rPr>
            <w:rFonts w:hint="eastAsia"/>
            <w:color w:val="000000"/>
            <w:sz w:val="27"/>
            <w:szCs w:val="27"/>
          </w:rPr>
          <w:t>农业供给侧</w:t>
        </w:r>
      </w:hyperlink>
      <w:r w:rsidRPr="009019B6">
        <w:rPr>
          <w:rFonts w:ascii="微软雅黑" w:eastAsia="微软雅黑" w:hAnsi="微软雅黑" w:hint="eastAsia"/>
          <w:color w:val="000000"/>
          <w:sz w:val="27"/>
          <w:szCs w:val="27"/>
        </w:rPr>
        <w:t>结构性改革，提高农业创新力、竞争力和全要素生产率，助力实施乡村振兴战略，农业农村部、财政部决定</w:t>
      </w:r>
      <w:r w:rsidRPr="009019B6">
        <w:rPr>
          <w:rFonts w:hint="eastAsia"/>
          <w:b/>
          <w:bCs/>
          <w:color w:val="000000"/>
          <w:sz w:val="27"/>
          <w:szCs w:val="27"/>
        </w:rPr>
        <w:t>实施绿色循环优质高效</w:t>
      </w:r>
      <w:hyperlink r:id="rId110" w:tgtFrame="_blank" w:history="1">
        <w:r w:rsidRPr="009019B6">
          <w:rPr>
            <w:rFonts w:hint="eastAsia"/>
            <w:color w:val="000000"/>
            <w:sz w:val="27"/>
            <w:szCs w:val="27"/>
          </w:rPr>
          <w:t>特色农业</w:t>
        </w:r>
      </w:hyperlink>
      <w:r w:rsidRPr="009019B6">
        <w:rPr>
          <w:rFonts w:hint="eastAsia"/>
          <w:b/>
          <w:bCs/>
          <w:color w:val="000000"/>
          <w:sz w:val="27"/>
          <w:szCs w:val="27"/>
        </w:rPr>
        <w:t>促进项目</w:t>
      </w:r>
      <w:r w:rsidRPr="009019B6">
        <w:rPr>
          <w:rFonts w:ascii="微软雅黑" w:eastAsia="微软雅黑" w:hAnsi="微软雅黑" w:hint="eastAsia"/>
          <w:color w:val="000000"/>
          <w:sz w:val="27"/>
          <w:szCs w:val="27"/>
        </w:rPr>
        <w:t>，现将有关事项通知如下。</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一、充分认识实施绿色循环优质高效特色农业促进项目的重要意义</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习近平总书记在去年底中央农村工作会议上强调：“坚持质量兴农、绿色兴农，加快推进农业由增产导向转向提质导向”。2018年中央1号文件提出：“深入推进农业绿色化、优质化、特色化、品牌化，调整优化农业生产力布局”。推进绿色循环优质高效特色</w:t>
      </w:r>
      <w:hyperlink r:id="rId111" w:tgtFrame="_blank" w:history="1">
        <w:r w:rsidRPr="009019B6">
          <w:rPr>
            <w:rFonts w:hint="eastAsia"/>
            <w:color w:val="000000"/>
            <w:sz w:val="27"/>
            <w:szCs w:val="27"/>
          </w:rPr>
          <w:t>农业发展</w:t>
        </w:r>
      </w:hyperlink>
      <w:r w:rsidRPr="009019B6">
        <w:rPr>
          <w:rFonts w:ascii="微软雅黑" w:eastAsia="微软雅黑" w:hAnsi="微软雅黑" w:hint="eastAsia"/>
          <w:color w:val="000000"/>
          <w:sz w:val="27"/>
          <w:szCs w:val="27"/>
        </w:rPr>
        <w:t>是实施质量兴农、绿色兴农战略的有效切入点，对深入推进农业供给侧结构性改革、提高我国农业综合效益和竞争力意义重大。</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是推进农业供给侧结构性改革的迫切需要。实施绿色循环优质高效特色农业促进项目，可以结合各地资源禀赋，发挥区域比较优势，优化农业产业结构，促进差异化竞争、特色化发展、品牌化经营，加快形成科学合理的农业生产力布局，从整体上提高我国农业供给体系的质量</w:t>
      </w:r>
      <w:r w:rsidRPr="009019B6">
        <w:rPr>
          <w:rFonts w:ascii="微软雅黑" w:eastAsia="微软雅黑" w:hAnsi="微软雅黑" w:hint="eastAsia"/>
          <w:color w:val="000000"/>
          <w:sz w:val="27"/>
          <w:szCs w:val="27"/>
        </w:rPr>
        <w:lastRenderedPageBreak/>
        <w:t>和效率，实现农民产得好、市场卖得好、消费者吃得好，满足人民群众消费结构加快升级的需要。</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二是推动质量兴农、绿色兴农的有效途径。绿色优质</w:t>
      </w:r>
      <w:hyperlink r:id="rId112" w:tgtFrame="_blank" w:history="1">
        <w:r w:rsidRPr="009019B6">
          <w:rPr>
            <w:rFonts w:hint="eastAsia"/>
            <w:color w:val="000000"/>
            <w:sz w:val="27"/>
            <w:szCs w:val="27"/>
          </w:rPr>
          <w:t>特色农产品</w:t>
        </w:r>
      </w:hyperlink>
      <w:r w:rsidRPr="009019B6">
        <w:rPr>
          <w:rFonts w:ascii="微软雅黑" w:eastAsia="微软雅黑" w:hAnsi="微软雅黑" w:hint="eastAsia"/>
          <w:color w:val="000000"/>
          <w:sz w:val="27"/>
          <w:szCs w:val="27"/>
        </w:rPr>
        <w:t>生产需要天蓝地绿水净的良好生态环境。实施绿色循环优质高效特色农业促进项目，有序开发特色优质资源，有利于推进特色产业转型升级，推广应用绿色高效生产方式，加快规模化、专业化、标准化建设，延伸产业链，完善供应链，提升价值链，推进资源循环利用和可持续发展，实现农业产业由规模速度型向质量效率型转变。</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三是促进</w:t>
      </w:r>
      <w:hyperlink r:id="rId113" w:tgtFrame="_blank" w:history="1">
        <w:r w:rsidRPr="009019B6">
          <w:rPr>
            <w:rFonts w:hint="eastAsia"/>
            <w:color w:val="000000"/>
            <w:sz w:val="27"/>
            <w:szCs w:val="27"/>
          </w:rPr>
          <w:t>农民增收</w:t>
        </w:r>
      </w:hyperlink>
      <w:hyperlink r:id="rId114" w:tgtFrame="_blank" w:history="1">
        <w:r w:rsidRPr="009019B6">
          <w:rPr>
            <w:rFonts w:hint="eastAsia"/>
            <w:color w:val="000000"/>
            <w:sz w:val="27"/>
            <w:szCs w:val="27"/>
          </w:rPr>
          <w:t>致富</w:t>
        </w:r>
      </w:hyperlink>
      <w:r w:rsidRPr="009019B6">
        <w:rPr>
          <w:rFonts w:ascii="微软雅黑" w:eastAsia="微软雅黑" w:hAnsi="微软雅黑" w:hint="eastAsia"/>
          <w:color w:val="000000"/>
          <w:sz w:val="27"/>
          <w:szCs w:val="27"/>
        </w:rPr>
        <w:t>的重要抓手。绿色优质特色农产品生产经营对农民增收带动作用明显，是增加农民收入的重要来源。实施绿色循环优质高效特色农业促进项目，发展适度规模经营和全产业链经营，开发特色农业潜力，有利于创造新产品、催生新业态、发展新模式、拓展新领域，完善利益分享机制，拓宽农民增收渠道。</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四是提高我国农业竞争力的必然选择。发展绿色循环优质高效特色农业，有利于降低生产成本、促进适度规模经营、推进产业融合发展、做大做强农产品品牌，将特色资源优势转化为竞争优势，多层次、多领域提升我国农产品质量效益和竞争力，实现产品质量高、产业效益高、生产效率高、资源利用高、农民收入高，真正从增产导向转向提质导向。</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二、总体要求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一）指导思想。全面贯彻落实党的十九大精神，以习近平新时代中国特色社会主义思想为引领，坚持质量兴农、绿色兴农，以果菜茶等优势特色产业为重点，以增加绿色优质特色农产品供给为目标，以提高资源利用效率和生态环境保护为核心，以建设资源节约型环境友好型农业为方向，以项目建设为载体，以县（市、区）为单位，完善农产品规模化标准化生产和品牌化经营产业链，优化区域农业生产结构和产品结构，提升农产品质量效益和竞争力，促进产业兴旺、绿色发展和农民增收。</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基本原则。一是绿色引领、质量兴农。贯彻落实绿色发展理念，集成组装标准化、规模化、绿色化、优质化技术模式，促进资源节约、生态循环，推动农产品质量效益和生态效益同步提升。二是优化布局、打造品牌。立足区域资源禀赋和市场消费需求，科学确定区域布局和产业规模，鼓励区域整体推进优化产品结构、品种结构、经营结构，打造优质区域公用品牌和产品品牌。三是主体带动，突出重点。选择规模较大、基础较好、带动力较强的新型经营主体或龙头企业开展示范，重点发展产业特色鲜明、发展规模适度、产品市场认可的优质农业产业。四是政府引导、市场引领。注重发挥政府的引导作用，强化</w:t>
      </w:r>
      <w:hyperlink r:id="rId115" w:tgtFrame="_blank" w:history="1">
        <w:r w:rsidRPr="009019B6">
          <w:rPr>
            <w:rFonts w:hint="eastAsia"/>
            <w:color w:val="000000"/>
            <w:sz w:val="27"/>
            <w:szCs w:val="27"/>
          </w:rPr>
          <w:t>政策扶持</w:t>
        </w:r>
      </w:hyperlink>
      <w:r w:rsidRPr="009019B6">
        <w:rPr>
          <w:rFonts w:ascii="微软雅黑" w:eastAsia="微软雅黑" w:hAnsi="微软雅黑" w:hint="eastAsia"/>
          <w:color w:val="000000"/>
          <w:sz w:val="27"/>
          <w:szCs w:val="27"/>
        </w:rPr>
        <w:t>，鼓励绿色优质特色产品生产经营。充分调动社会各方面积极性，主动参与绿色循环优质高效特色</w:t>
      </w:r>
      <w:hyperlink r:id="rId116" w:tgtFrame="_blank" w:history="1">
        <w:r w:rsidRPr="009019B6">
          <w:rPr>
            <w:rFonts w:hint="eastAsia"/>
            <w:color w:val="000000"/>
            <w:sz w:val="27"/>
            <w:szCs w:val="27"/>
          </w:rPr>
          <w:t>农业项目</w:t>
        </w:r>
      </w:hyperlink>
      <w:r w:rsidRPr="009019B6">
        <w:rPr>
          <w:rFonts w:ascii="微软雅黑" w:eastAsia="微软雅黑" w:hAnsi="微软雅黑" w:hint="eastAsia"/>
          <w:color w:val="000000"/>
          <w:sz w:val="27"/>
          <w:szCs w:val="27"/>
        </w:rPr>
        <w:t>建设。</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（三）工作目标。通过实施绿色循环优质高效特色农业促进项目，加快形成一批以绿色优质特色农产品生产、加工、流通、销售产业链为</w:t>
      </w:r>
      <w:r w:rsidRPr="009019B6">
        <w:rPr>
          <w:rFonts w:ascii="微软雅黑" w:eastAsia="微软雅黑" w:hAnsi="微软雅黑" w:hint="eastAsia"/>
          <w:color w:val="000000"/>
          <w:sz w:val="27"/>
          <w:szCs w:val="27"/>
        </w:rPr>
        <w:lastRenderedPageBreak/>
        <w:t>基础，集科技创新、休闲观光、种养结合的农业产业集群，培育一批经济效益好、带动能力强、规范生产管理的新型农业经营主体和龙头企业，打造一批知名农业品牌，将绿色优质特色农业培育成农业农村经济的重要支柱产业、农民持续增收的重要战略产业，更好满足城乡居民多样化消费需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三、建设内容</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绿色循环优质高效特色农业促进项目主要支持以下内容。</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是建设标准化生产示范基地。以水果、蔬菜、茶叶等优质特色农产品为重点，推进生产设施、示范技术、质量管理标准化，建设全程绿色标准化生产示范基地，广泛应用病虫害统防统治、绿色防控、生物防治等措施，推广有机肥替代化肥；推进品种改良、品质改进，筛选一批优质、抗病、适应性强、适销对路的优良品种，恢复一批传统特色当家品种，提升良种繁育能力。推广果沼畜、菜沼畜、茶沼畜、稻渔（鸭）综合种养等生产模式，推动种养加一体、农牧渔结合循环发展。鼓励发展订单农业，推进农业生产社会化服务，按照绿色优质标准，为普通农户提供生产、加工、销售服务，保障产品质量和稳定原料供给。</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是延伸绿色优质特色农产品产业链。推进产加销、贸工农一体化发展，支持新型农业经营主体强化绿色优质特色农产品产后薄弱环节和关键环节基础设施条件建设，建设一批田头市场，在产地就近建设交易棚（厅）、水电配套等基础设施以及仓储、冷库等冷链物流设施，发展</w:t>
      </w:r>
      <w:r w:rsidRPr="009019B6">
        <w:rPr>
          <w:rFonts w:ascii="微软雅黑" w:eastAsia="微软雅黑" w:hAnsi="微软雅黑" w:hint="eastAsia"/>
          <w:color w:val="000000"/>
          <w:sz w:val="27"/>
          <w:szCs w:val="27"/>
        </w:rPr>
        <w:lastRenderedPageBreak/>
        <w:t>农产品清理、保鲜、烘干、分级、包装、副产物循环利用等初加工处理，支持有实力的企业发展农产品精深加工。推进“互联网+</w:t>
      </w:r>
      <w:hyperlink r:id="rId117" w:tgtFrame="_blank" w:history="1">
        <w:r w:rsidRPr="009019B6">
          <w:rPr>
            <w:rFonts w:hint="eastAsia"/>
            <w:color w:val="000000"/>
            <w:sz w:val="27"/>
            <w:szCs w:val="27"/>
          </w:rPr>
          <w:t>现代农业</w:t>
        </w:r>
      </w:hyperlink>
      <w:r w:rsidRPr="009019B6">
        <w:rPr>
          <w:rFonts w:ascii="微软雅黑" w:eastAsia="微软雅黑" w:hAnsi="微软雅黑" w:hint="eastAsia"/>
          <w:color w:val="000000"/>
          <w:sz w:val="27"/>
          <w:szCs w:val="27"/>
        </w:rPr>
        <w:t>”，与大型电商合作，建立绿色优质特色农产品电商平台或专属营销渠道。通过股份合作、“保底收益+按股分红”等形式与农户建立紧密利益联结机制，让小农户充分享受二三产业增值收益。</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是加强质量管理和品牌运营服务。完善绿色优质特色农产品产地环境、生产资料、技术规程、产品等级等标准，推行产地标识管理、产品条码制度，推进产地准出和市场准入。完善投入品管理、档案记录、产品检测、合格证准出和质量追溯等制度，构建全程质量管理长效机制。围绕绿色优质特色农产品生产经营，推动企业创新技术、改良生产工艺、优化包装设计，提高产品档次，塑造品牌核心价值，打造地域特色突出、产品特性鲜明的区域公用品牌和产品品牌。</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四、支持方式及建设条件</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（一）支持方式</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2018年分区域选择部分果菜茶等产业发展基础好、特色产业发展潜力大、党委政府高度重视的省份开展推进，支持河北、辽宁、浙江、福建、山东、广东、广西、云南、甘肃、青海等10个省（自治区）和</w:t>
      </w:r>
      <w:hyperlink r:id="rId118" w:tgtFrame="_blank" w:history="1">
        <w:r w:rsidRPr="009019B6">
          <w:rPr>
            <w:rFonts w:hint="eastAsia"/>
            <w:color w:val="000000"/>
            <w:sz w:val="27"/>
            <w:szCs w:val="27"/>
          </w:rPr>
          <w:t>广东省</w:t>
        </w:r>
      </w:hyperlink>
      <w:r w:rsidRPr="009019B6">
        <w:rPr>
          <w:rFonts w:ascii="微软雅黑" w:eastAsia="微软雅黑" w:hAnsi="微软雅黑" w:hint="eastAsia"/>
          <w:color w:val="000000"/>
          <w:sz w:val="27"/>
          <w:szCs w:val="27"/>
        </w:rPr>
        <w:t>农垦总局实施绿色循环优质高效特色农业促进项目。</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中央财政通过以奖代补方式对实施绿色循环优质高效特色农业促进项目予以补助。农业农村部、财政部按照相关因素测算下达补助资金。各省（自治区、广东省农垦总局，以下简称“各省”）根据建设条件择优确定不超过3个项目，每个项目中央财政补助资金不得低于1800万元。各地可按规定积极统筹整合其他相关渠道资金，集中用于促进绿色循环优质高效特色农业发展的关键环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（二）建设条件</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实施绿色循环优质高效特色农业促进项目应达到以下条件。</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是地方政府有积极性。项目所在地方人民政府高度重视实施乡村振兴战略，有实施绿色循环优质高效特色农业促进项目的积极意愿，在财政扶持、金融服务、人才支撑、基础设施建设、用地用电保障等方面已出台相关政策和支持措施。</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二是有优势特色产业。产业资源特色较鲜明、比较优势较明显、市场认可、出口潜力较大，果菜茶等特色主导产品具有较强的竞争力。</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是有发展基础和潜力。项目区域相对集中连片，规模适中，原则在一个县域范围内，便于集中打造，有一定的发展空间。所在地区初步建立严格高效的农产品质量安全管控机制，实现农产品生产、加工、流通全程化监管。具有示范带动能力较强的龙头企业或合作社，市场主体间构建了稳定紧密的利益联结机制，能够带动小农户分享产业增值收益。</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具体建设条件由各省结合实际细化发布。项目遴选确定后，请各省于6月30日前将拟定的项目名单及建设方案报送农业农村部、财政部审核。</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五、工作要求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强化组织领导。绿色循环优质高效特色农业促进项目实行中央统筹、省负总责、县抓落实的工作机制。各省农业农村、财政部门要高度重视，建立紧密的工作协作机制，及时印发省级工作方案，明确建设思路、建设内容、建设条件等，并完善配套制度，强化工作指导和监督检查，确保工作方向不偏、资金规范使用。</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强化资源整合。鼓励各省创新体制机制和政策体系，统筹用好支持农业生产发展、农业资源生态保护、农业基础设施建设等方面的资金，鼓励工商资本参与绿色优质特色农产品全产业链发展，引导金融机构对项目建设予以支持。</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强化绩效考核。农业农村部、财政部将建立绩效评价制度，组织有关单位或委托第三方机构，对各省促进工作进行绩效评价，对达到工作要求的，安排后续奖补资金；对达不到工作要求的，取消建设资格，不再安排奖补资金。各省也要建立工作绩效考核制度，完善激励约束机制。</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四）强化宣传引导。各省要充分利用多媒体多渠道宣传实施绿色循环优质高效特色农业促进项目的重大意义和建设要求，开展经常性的宣传报道，全面展现项目亮点和成效，积极营造全社会共同推进的良好氛围。</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农业农村部财政部</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2018年6月13日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2" w:name="_Toc12864273"/>
      <w:r w:rsidRPr="009019B6">
        <w:rPr>
          <w:rFonts w:hint="eastAsia"/>
          <w:sz w:val="30"/>
          <w:szCs w:val="30"/>
        </w:rPr>
        <w:lastRenderedPageBreak/>
        <w:t>中共中央</w:t>
      </w:r>
      <w:r w:rsidRPr="009019B6">
        <w:rPr>
          <w:rFonts w:hint="eastAsia"/>
          <w:sz w:val="30"/>
          <w:szCs w:val="30"/>
        </w:rPr>
        <w:t xml:space="preserve"> </w:t>
      </w:r>
      <w:r w:rsidRPr="009019B6">
        <w:rPr>
          <w:rFonts w:hint="eastAsia"/>
          <w:sz w:val="30"/>
          <w:szCs w:val="30"/>
        </w:rPr>
        <w:t>国务院关于深入推进农业供给侧结构性改革加快培育农业农村发展新动能的若干意见（中发〔</w:t>
      </w:r>
      <w:r w:rsidRPr="009019B6">
        <w:rPr>
          <w:rFonts w:hint="eastAsia"/>
          <w:sz w:val="30"/>
          <w:szCs w:val="30"/>
        </w:rPr>
        <w:t>2017</w:t>
      </w:r>
      <w:r w:rsidRPr="009019B6">
        <w:rPr>
          <w:rFonts w:hint="eastAsia"/>
          <w:sz w:val="30"/>
          <w:szCs w:val="30"/>
        </w:rPr>
        <w:t>〕</w:t>
      </w:r>
      <w:r w:rsidRPr="009019B6">
        <w:rPr>
          <w:rFonts w:hint="eastAsia"/>
          <w:sz w:val="30"/>
          <w:szCs w:val="30"/>
        </w:rPr>
        <w:t>1</w:t>
      </w:r>
      <w:r w:rsidRPr="009019B6">
        <w:rPr>
          <w:rFonts w:hint="eastAsia"/>
          <w:sz w:val="30"/>
          <w:szCs w:val="30"/>
        </w:rPr>
        <w:t>号）</w:t>
      </w:r>
      <w:bookmarkEnd w:id="122"/>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经过多年不懈努力，我国农业农村发展不断迈上新台阶，已进入新的历史阶段。农业的主要矛盾由总量不足转变为结构性矛盾，突出表现为阶段性供过于求和供给不足并存，矛盾的主要方面在供给侧。近几年，我国在农业转方式、调结构、促改革等方面进行积极探索，为进一步推进农业转型升级打下一定基础，但农产品供求结构失衡、要素配置不合理、资源环境压力大、农民收入持续增长乏力等问题仍很突出，增加产量与提升品质、成本攀升与价格低迷、库存高企与销售不畅、小生产与大市场、国内外价格倒挂等矛盾亟待破解。必须顺应新形势新要求，坚持问题导向，调整工作重心，深入推进农业供给侧结构性改革，加快培育农业农村发展新动能，开创农业现代化建设新局面。</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推进农业供给侧结构性改革，要在确保国家粮食安全的基础上，紧紧围绕市场需求变化，以增加农民收入、保障有效供给为主要目标，以提高农业供给质量为主攻方向，以体制改革和机制创新为根本途径，优化农业产业体系、生产体系、经营体系，提高土地产出率、资源利用率、劳动生产率，促进农业农村发展由过度依赖资源消耗、主要满足量的需求，向追求绿色生态可持续、更加注重满足质的需求转变。</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推进农业供给侧结构性改革是一个长期过程，处理好政府和市场关系、协调好各方面利益，面临许多重大考验。必须直面困难和挑战，坚定不移推进改革，勇于承受改革阵痛，尽力降低改革成本，积极防范改</w:t>
      </w:r>
      <w:r w:rsidRPr="009019B6">
        <w:rPr>
          <w:rFonts w:ascii="微软雅黑" w:eastAsia="微软雅黑" w:hAnsi="微软雅黑" w:cs="宋体" w:hint="eastAsia"/>
          <w:color w:val="000000"/>
          <w:kern w:val="0"/>
          <w:sz w:val="27"/>
          <w:szCs w:val="27"/>
        </w:rPr>
        <w:lastRenderedPageBreak/>
        <w:t>革风险，确保粮食生产能力不降低、农民增收势头不逆转、农村稳定不出问题。</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2017年农业农村工作，要全面贯彻党的十八大和十八届三中、四中、五中、六中全会精神，以邓小平理论、“三个代表”重要思想、科学发展观为指导，深入贯彻习近平总书记系列重要讲话精神和治国理政新理念新思想新战略，坚持新发展理念，协调推进农业现代化与新型城镇化，以推进农业供给侧结构性改革为主线，围绕农业增效、农民增收、农村增绿，加强科技创新引领，加快结构调整步伐，加大农村改革力度，提高农业综合效益和竞争力，推动社会主义新农村建设取得新的进展，力争农村全面小康建设迈出更大步伐。</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一、优化产品产业结构，着力推进农业提质增效</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统筹调整粮经饲种植结构。按照稳粮、优经、扩饲的要求，加快构建粮经饲协调发展的三元种植结构。粮食作物要稳定水稻、小麦生产，确保口粮绝对安全，重点发展优质稻米和强筋弱筋小麦，继续调减非优势区籽粒玉米，增加优质食用大豆、薯类、杂粮杂豆等。经济作物要优化品种品质和区域布局，巩固主产区棉花、油料、糖料生产，促进园艺作物增值增效。饲料作物要扩大种植面积，发展青贮玉米、苜蓿等优质牧草，大力培育现代饲草料产业体系。加快北方农牧交错带结构调整，形成以养带种、牧林农复合、草果菜结合的种植结构。继续开展粮改饲、粮改豆补贴试点。</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2.发展规模高效养殖业。稳定生猪生产，优化南方水网地区生猪养殖区域布局，引导产能向环境容量大的地区和玉米主产区转移。加快品种改良，大力发展牛羊等草食畜牧业。全面振兴奶业，重点支持适度规模的家庭牧场，引导扩大生鲜乳消费，严格执行复原乳标识制度，培育国产优质品牌。合理确定湖泊水库等内陆水域养殖规模，推动水产养殖减量增效。推进稻田综合种养和低洼盐碱地养殖。完善江河湖海限捕、禁捕时限和区域，率先在长江流域水生生物保护区实现全面禁捕。科学有序开发滩涂资源。支持集约化海水健康养殖，发展现代化海洋牧场，加强区域协同保护，合理控制近海捕捞。积极发展远洋渔业。建立海洋渔业资源总量管理制度，规范各类渔业用海活动，支持渔民减船转产。</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3.做大做强优势特色产业。实施优势特色农业提质增效行动计划，促进杂粮杂豆、蔬菜瓜果、茶叶蚕桑、花卉苗木、食用菌、中药材和特色养殖等产业提档升级，把地方土特产和小品种做成带动农民增收的大产业。大力发展木本粮油等特色经济林、珍贵树种用材林、花卉竹藤、森林食品等绿色产业。实施森林生态标志产品建设工程。开展特色农产品标准化生产示范，建设一批地理标志农产品和原产地保护基地。推进区域农产品公用品牌建设，支持地方以优势企业和行业协会为依托打造区域特色品牌，引入现代要素改造提升传统名优品牌。</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4.进一步优化农业区域布局。以主体功能区规划和优势农产品布局规划为依托，科学合理划定稻谷、小麦、玉米粮食生产功能区和大豆、棉花、油菜籽、糖料蔗、天然橡胶等重要农产品生产保护区。功能区和</w:t>
      </w:r>
      <w:r w:rsidRPr="009019B6">
        <w:rPr>
          <w:rFonts w:ascii="微软雅黑" w:eastAsia="微软雅黑" w:hAnsi="微软雅黑" w:cs="宋体" w:hint="eastAsia"/>
          <w:color w:val="000000"/>
          <w:kern w:val="0"/>
          <w:sz w:val="27"/>
          <w:szCs w:val="27"/>
        </w:rPr>
        <w:lastRenderedPageBreak/>
        <w:t>保护区内地块全部建档立册、上图入库，实现信息化精准化管理。抓紧研究制定功能区和保护区建设标准，完善激励机制和支持政策，层层落实建设管护主体责任。制定特色农产品优势区建设规划，建立评价标准和技术支撑体系，鼓励各地争创园艺产品、畜产品、水产品、林特产品等特色农产品优势区。</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5.全面提升农产品质量和食品安全水平。坚持质量兴农，实施农业标准化战略，突出优质、安全、绿色导向，健全农产品质量和食品安全标准体系。支持新型农业经营主体申请“三品一标”认证，推进农产品商标注册便利化，强化品牌保护。引导企业争取国际有机农产品认证，加快提升国内绿色、有机农产品认证的权威性和影响力。切实加强产地环境保护和源头治理，推行农业良好生产规范，推广生产记录台账制度，严格执行农业投入品生产销售使用有关规定。深入开展农兽药残留超标特别是养殖业滥用抗生素治理，严厉打击违禁超限量使用农兽药、非法添加和超范围超限量使用食品添加剂等行为。健全农产品质量和食品安全监管体制，强化风险分级管理和属地责任，加大抽检监测力度。建立全程可追溯、互联共享的追溯监管综合服务平台。鼓励生产经营主体投保食品安全责任险。抓紧修订农产品质量安全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6.积极发展适度规模经营。大力培育新型农业经营主体和服务主体，通过经营权流转、股份合作、代耕代种、土地托管等多种方式，加快发展土地流转型、服务带动型等多种形式规模经营。积极引导农民在自愿基础上，通过村组内互换并地等方式，实现按户连片耕种。完善家庭农</w:t>
      </w:r>
      <w:r w:rsidRPr="009019B6">
        <w:rPr>
          <w:rFonts w:ascii="微软雅黑" w:eastAsia="微软雅黑" w:hAnsi="微软雅黑" w:cs="宋体" w:hint="eastAsia"/>
          <w:color w:val="000000"/>
          <w:kern w:val="0"/>
          <w:sz w:val="27"/>
          <w:szCs w:val="27"/>
        </w:rPr>
        <w:lastRenderedPageBreak/>
        <w:t>场认定办法，扶持规模适度的家庭农场。加强农民合作社规范化建设，积极发展生产、供销、信用“三位一体”综合合作。总结推广农业生产全程社会化服务试点经验，扶持培育农机作业、农田灌排、统防统治、烘干仓储等经营性服务组织。支持供销、邮政、农机等系统发挥为农服务综合平台作用，促进传统农资流通网点向现代农资综合服务商转型。鼓励地方探索土地流转履约保证保险。研究建立农业适度规模经营评价指标体系，引导规模经营健康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7．建设现代农业产业园。以规模化种养基地为基础，依托农业产业化龙头企业带动，聚集现代生产要素，建设“生产＋加工＋科技”的现代农业产业园，发挥技术集成、产业融合、创业平台、核心辐射等功能作用。科学制定产业园规划，统筹布局生产、加工、物流、研发、示范、服务等功能板块。鼓励地方统筹使用高标准农田建设、农业综合开发、现代农业生产发展等相关项目资金，集中建设产业园基础设施和配套服务体系。吸引龙头企业和科研机构建设运营产业园，发展设施农业、精准农业、精深加工、现代营销，带动新型农业经营主体和农户专业化、标准化、集约化生产，推动农业全环节升级、全链条增值。鼓励农户和返乡下乡人员通过订单农业、股份合作、入园创业就业等多种方式，参与建设，分享收益。</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8.创造良好农产品国际贸易环境。统筹利用国际市场，优化国内农产品供给结构，健全公平竞争的农产品进口市场环境。健全农产品贸易反补贴、反倾销和保障措施法律法规，依法对进口农产品开展贸易救济</w:t>
      </w:r>
      <w:r w:rsidRPr="009019B6">
        <w:rPr>
          <w:rFonts w:ascii="微软雅黑" w:eastAsia="微软雅黑" w:hAnsi="微软雅黑" w:cs="宋体" w:hint="eastAsia"/>
          <w:color w:val="000000"/>
          <w:kern w:val="0"/>
          <w:sz w:val="27"/>
          <w:szCs w:val="27"/>
        </w:rPr>
        <w:lastRenderedPageBreak/>
        <w:t>调查。鼓励扩大优势农产品出口，加大海外推介力度。加强农业对外合作，推动农业走出去。以“一带一路”沿线及周边国家和地区为重点，支持农业企业开展跨国经营，建立境外生产基地和加工、仓储物流设施，培育具有国际竞争力的大企业大集团。积极参与国际贸易规则和国际标准的制定修订，推进农产品认证结果互认工作。深入开展农产品反走私综合治理，实施专项打击行动。</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二、推行绿色生产方式，增强农业可持续发展能力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9.推进农业清洁生产。深入推进化肥农药零增长行动，开展有机肥替代化肥试点，促进农业节本增效。建立健全化肥农药行业生产监管及产品追溯系统，严格行业准入管理。大力推行高效生态循环的种养模式，加快畜禽粪便集中处理，推动规模化大型沼气健康发展。以县为单位推进农业废弃物资源化利用试点，探索建立可持续运营管理机制。鼓励各地加大农作物秸秆综合利用支持力度，健全秸秆多元化利用补贴机制。继续开展地膜清洁生产试点示范。推进国家农业可持续发展试验示范区创建。</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10.大规模实施农业节水工程。把农业节水作为方向性、战略性大事来抓，加快完善国家支持农业节水政策体系。加大大中型灌排骨干工程节水改造与建设力度，同步完善田间节水设施，建设现代化灌区。大力实施区域规模化高效节水灌溉行动，集中建成一批高效节水灌溉工程。稳步推进牧区高效节水灌溉饲草料地建设，严格限制生态脆弱地区抽取地下水灌溉人工草场。建立健全农业节水技术产品标准体系。加快开发</w:t>
      </w:r>
      <w:r w:rsidRPr="009019B6">
        <w:rPr>
          <w:rFonts w:ascii="微软雅黑" w:eastAsia="微软雅黑" w:hAnsi="微软雅黑" w:cs="宋体" w:hint="eastAsia"/>
          <w:color w:val="000000"/>
          <w:kern w:val="0"/>
          <w:sz w:val="27"/>
          <w:szCs w:val="27"/>
        </w:rPr>
        <w:lastRenderedPageBreak/>
        <w:t>种类齐全、系列配套、性能可靠的节水灌溉技术和产品，大力普及喷灌、滴灌等节水灌溉技术，加大水肥一体化等农艺节水推广力度。全面推进农业水价综合改革，落实地方政府主体责任，加快建立合理水价形成机制和节水激励机制。全面推行用水定额管理，开展县域节水型社会建设达标考核。实施第三次全国水资源调查评价。</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11.集中治理农业环境突出问题。实施耕地、草原、河湖休养生息规划。开展土壤污染状况详查，深入实施土壤污染防治行动计划，继续开展重金属污染耕地修复及种植结构调整试点。扩大农业面源污染综合治理试点范围。加大东北黑土地保护支持力度。推进耕地轮作休耕制度试点，合理设定补助标准。支持地方重点开展设施农业土壤改良，增加土壤有机质。扩大华北地下水超采区综合治理范围。加快新一轮退耕还林还草工程实施进度。上一轮退耕还林补助政策期满后，将符合条件的退耕还生态林分别纳入中央和地方森林生态效益补偿范围。继续实施退牧还草工程。推进北方农牧交错带已垦草原治理。实施湿地保护修复工程。</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12.加强重大生态工程建设。推进山水林田湖整体保护、系统修复、综合治理，加快构建国家生态安全屏障。全面推进大规模国土绿化行动。启动长江经济带重大生态修复工程，把共抓大保护、不搞大开发的要求落到实处。继续实施林业重点生态工程，推动森林质量精准提升工程建设。完善全面停止天然林商业性采伐补助政策。加快推进国家公园建设。加强国家储备林基地建设。推进沙化土地封禁与修复治理。加大野生动植物和珍稀种质资源保护力度，推进濒危野生动植物抢救性保护及自然</w:t>
      </w:r>
      <w:r w:rsidRPr="009019B6">
        <w:rPr>
          <w:rFonts w:ascii="微软雅黑" w:eastAsia="微软雅黑" w:hAnsi="微软雅黑" w:cs="宋体" w:hint="eastAsia"/>
          <w:color w:val="000000"/>
          <w:kern w:val="0"/>
          <w:sz w:val="27"/>
          <w:szCs w:val="27"/>
        </w:rPr>
        <w:lastRenderedPageBreak/>
        <w:t>保护区建设。加强重点区域水土流失综合治理和水生态修复治理，继续开展江河湖库水系连通工程建设。</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三、壮大新产业新业态，拓展农业产业链价值链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13.大力发展乡村休闲旅游产业。充分发挥乡村各类物质与非物质资源富集的独特优势，利用“旅游＋”、“生态＋”等模式，推进农业、林业与旅游、教育、文化、康养等产业深度融合。丰富乡村旅游业态和产品，打造各类主题乡村旅游目的地和精品线路，发展富有乡村特色的民宿和养生养老基地。鼓励农村集体经济组织创办乡村旅游合作社，或与社会资本联办乡村旅游企业。多渠道筹集建设资金，大力改善休闲农业、乡村旅游、森林康养公共服务设施条件，在重点村优先实现宽带全覆盖。完善休闲农业、乡村旅游行业标准，建立健全食品安全、消防安全、环境保护等监管规范。支持传统村落保护，维护少数民族特色村寨整体风貌，有条件的地区实行连片保护和适度开发。</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14.推进农村电商发展。促进新型农业经营主体、加工流通企业与电商企业全面对接融合，推动线上线下互动发展。加快建立健全适应农产品电商发展的标准体系。支持农产品电商平台和乡村电商服务站点建设。推动商贸、供销、邮政、电商互联互通，加强从村到乡镇的物流体系建设，实施快递下乡工程。深入实施电子商务进农村综合示范。鼓励地方规范发展电商产业园，聚集品牌推广、物流集散、人才培养、技术支持、质量安全等功能服务。全面实施信息进村入户工程，开展整省推进示范。完善全国农产品流通骨干网络，加快构建公益性农产品市场体系，加强</w:t>
      </w:r>
      <w:r w:rsidRPr="009019B6">
        <w:rPr>
          <w:rFonts w:ascii="微软雅黑" w:eastAsia="微软雅黑" w:hAnsi="微软雅黑" w:cs="宋体" w:hint="eastAsia"/>
          <w:color w:val="000000"/>
          <w:kern w:val="0"/>
          <w:sz w:val="27"/>
          <w:szCs w:val="27"/>
        </w:rPr>
        <w:lastRenderedPageBreak/>
        <w:t>农产品产地预冷等冷链物流基础设施网络建设，完善鲜活农产品直供直销体系。推进“互联网＋”现代农业行动。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15.加快发展现代食品产业。引导加工企业向主产区、优势产区、产业园区集中，在优势农产品产地打造食品加工产业集群。加大食品加工业技术改造支持力度，开发拥有自主知识产权的生产加工设备。鼓励食品企业设立研发机构，围绕“原字号”开发市场适销对路的新产品。实施主食加工业提升行动，积极推进传统主食工业化、规模化生产，大力发展方便食品、休闲食品、速冻食品、马铃薯主食产品。加强新食品原料、药食同源食品开发和应用。大力推广“生产基地＋中央厨房＋餐饮门店”、“生产基地＋加工企业＋商超销售”等产销模式。加强现代生物和营养强化技术研究，挖掘开发具有保健功能的食品。健全保健食品、特殊医学用途食品、婴幼儿配方乳粉注册备案制度。完善农产品产地初加工补助政策。</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16.培育宜居宜业特色村镇。围绕有基础、有特色、有潜力的产业，建设一批农业文化旅游“三位一体”、生产生活生态同步改善、一产二产三产深度融合的特色村镇。支持各地加强特色村镇产业支撑、基础设施、公共服务、环境风貌等建设。打造“一村一品”升级版，发展各具特色的专业村。支持有条件的乡村建设以农民合作社为主要载体、让农民充分参与和受益，集循环农业、创意农业、农事体验于一体的田园综合体，通过农业综合开发、农村综合改革转移支付等渠道开展试点示范。</w:t>
      </w:r>
      <w:r w:rsidRPr="009019B6">
        <w:rPr>
          <w:rFonts w:ascii="微软雅黑" w:eastAsia="微软雅黑" w:hAnsi="微软雅黑" w:cs="宋体" w:hint="eastAsia"/>
          <w:color w:val="000000"/>
          <w:kern w:val="0"/>
          <w:sz w:val="27"/>
          <w:szCs w:val="27"/>
        </w:rPr>
        <w:lastRenderedPageBreak/>
        <w:t>深入实施农村产业融合发展试点示范工程，支持建设一批农村产业融合发展示范园。</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四、强化科技创新驱动，引领现代农业加快发展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17．加强农业科技研发。适应农业转方式调结构新要求，调整农业科技创新方向和重点。整合科技创新资源，完善国家农业科技创新体系和现代农业产业技术体系，建立一批现代农业产业科技创新中心和农业科技创新联盟，推进资源开放共享与服务平台基地建设。加强农业科技基础前沿研究，提升原始创新能力。建设国家农业高新技术产业开发区。加大实施种业自主创新重大工程和主要农作物良种联合攻关力度，加快适宜机械化生产、优质高产多抗广适新品种选育。加强中低产田改良、经济作物、草食畜牧业、海洋牧场、智慧农业、农林产品精深加工、仓储物流等科技研发。加快研发适宜丘陵山区、设施农业、畜禽水产养殖的农机装备，提升农机核心零部件自主研发能力。支持地方开展特色优势产业技术研发。</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18.强化农业科技推广。创新公益性农技推广服务方式，引入项目管理机制，推行政府购买服务，支持各类社会力量广泛参与农业科技推广。鼓励地方建立农科教产学研一体化农业技术推广联盟，支持农技推广人员与家庭农场、农民合作社、龙头企业开展技术合作。深入推进绿色高产高效创建，重点推广优质专用品种和节本降耗、循环利用技术模式。实施智慧农业工程，推进农业物联网试验示范和农业装备智能化。发展</w:t>
      </w:r>
      <w:r w:rsidRPr="009019B6">
        <w:rPr>
          <w:rFonts w:ascii="微软雅黑" w:eastAsia="微软雅黑" w:hAnsi="微软雅黑" w:cs="宋体" w:hint="eastAsia"/>
          <w:color w:val="000000"/>
          <w:kern w:val="0"/>
          <w:sz w:val="27"/>
          <w:szCs w:val="27"/>
        </w:rPr>
        <w:lastRenderedPageBreak/>
        <w:t>智慧气象，提高气象灾害监测预报预警水平。深入推行科技特派员制度，打造一批“星创天地”。加强农村科普公共服务建设。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19.完善农业科技创新激励机制。加快落实科技成果转化收益、科技人员兼职取酬等制度规定。通过“后补助”等方式支持农业科技创新。实施农业科研杰出人才培养计划，深入推进科研成果权益改革试点。发展面向市场的新型农业技术研发、成果转化和产业孵化机构。完善符合农业科技创新规律的基础研究支持方式，建立差别化农业科技评价制度。加强农业知识产权保护和运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20.提升农业科技园区建设水平。科学制定园区规划，突出科技创新、研发应用、试验示范、科技服务与培训等功能，建设农业科技成果转化中心、科技人员创业平台、高新技术产业孵化基地，打造现代农业创新高地。支持园区产学研合作建立各类研发机构、测试检测中心、院士专家工作站、技术交易机构等科研和服务平台。支持园区企业和科研机构结合区域实际，开展特色优势产业关键共性技术研发和推广。完善国家农业科技园区管理办法和监测评价机制。</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21.开发农村人力资源。重点围绕新型职业农民培育、农民工职业技能提升，整合各渠道培训资金资源，建立政府主导、部门协作、统筹安排、产业带动的培训机制。探索政府购买服务等办法，发挥企业培训主体作用，提高农民工技能培训针对性和实效性。优化农业从业者结构，深入推进现代青年农场主、林场主培养计划和新型农业经营主体带头人轮训计划，探索培育农业职业经理人，培养适应现代农业发展需要的新</w:t>
      </w:r>
      <w:r w:rsidRPr="009019B6">
        <w:rPr>
          <w:rFonts w:ascii="微软雅黑" w:eastAsia="微软雅黑" w:hAnsi="微软雅黑" w:cs="宋体" w:hint="eastAsia"/>
          <w:color w:val="000000"/>
          <w:kern w:val="0"/>
          <w:sz w:val="27"/>
          <w:szCs w:val="27"/>
        </w:rPr>
        <w:lastRenderedPageBreak/>
        <w:t>农民。鼓励高等学校、职业院校开设乡村规划建设、乡村住宅设计等相关专业和课程，培养一批专业人才，扶持一批乡村工匠。</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五、补齐农业农村短板，夯实农村共享发展基础</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22.持续加强农田基本建设。深入实施藏粮于地、藏粮于技战略，严守耕地红线，保护优化粮食产能。全面落实永久基本农田特殊保护政策措施，实施耕地质量保护和提升行动，持续推进中低产田改造。加快高标准农田建设，提高建设质量。有条件的地区可以将晒场、烘干、机具库棚、有机肥积造等配套设施纳入高标准农田建设范围。引导金融机构对高标准农田建设提供信贷支持。允许通过土地整治增加的耕地作为占补平衡补充耕地的指标在省域内调剂，按规定或合同约定取得指标调剂收益。推进重大水利工程建设，抓紧修复水毁灾损农业设施和水利工程，加强水利薄弱环节和“五小水利”工程建设。因地制宜推进平原地区农村机井油改电。</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23.深入开展农村人居环境治理和美丽宜居乡村建设。推进农村生活垃圾治理专项行动，促进垃圾分类和资源化利用，选择适宜模式开展农村生活污水治理，加大力度支持农村环境集中连片综合治理和改厕。开展城乡垃圾乱排乱放集中排查整治行动。实施农村新能源行动，推进光伏发电，逐步扩大农村电力、燃气和清洁型煤供给。加快修订村庄和集镇规划建设管理条例，大力推进县域乡村建设规划编制工作。推动建筑设计下乡，开展田园建筑示范。深入开展建好、管好、护好、运营好农村公路工作，深化农村公路管养体制改革，积极推进城乡交通运输一体</w:t>
      </w:r>
      <w:r w:rsidRPr="009019B6">
        <w:rPr>
          <w:rFonts w:ascii="微软雅黑" w:eastAsia="微软雅黑" w:hAnsi="微软雅黑" w:cs="宋体" w:hint="eastAsia"/>
          <w:color w:val="000000"/>
          <w:kern w:val="0"/>
          <w:sz w:val="27"/>
          <w:szCs w:val="27"/>
        </w:rPr>
        <w:lastRenderedPageBreak/>
        <w:t>化。实施农村饮水安全巩固提升工程和新一轮农村电网改造升级工程。完善农村危房改造政策，提高补助标准，集中支持建档立卡贫困户、低保户、分散供养特困人员和贫困残疾人家庭等重点对象。开展农村地区枯井、河塘、饮用水、自建房、客运和校车等方面安全隐患排查治理工作。推进光纤到村建设，加快实现4G网络农村全覆盖。推进建制村直接通邮。开展农村人居环境和美丽宜居乡村示范创建。加强农村公共文化服务体系建设，统筹实施重点文化惠民项目，完善基层综合性文化服务设施，在农村地区深入开展送地方戏活动。支持重要农业文化遗产保护。</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24.提升农村基本公共服务水平。全面落实城乡统一、重在农村的义务教育经费保障机制，加强乡村教师队伍建设。继续提高城乡居民基本医疗保险筹资水平，加快推进城乡居民医保制度整合，推进基本医保全国联网和异地就医结算。加强农村基层卫生人才培养。完善农村低保对象认定办法，科学合理确定农村低保标准。扎实推进农村低保制度与扶贫开发政策有效衔接，做好农村低保兜底工作。完善城乡居民养老保险筹资和保障机制。健全农村留守儿童和妇女、老人、残疾人关爱服务体系。</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25.扎实推进脱贫攻坚。进一步推进精准扶贫各项政策措施落地生根，确保2017年再脱贫1000万人以上。深入推进重大扶贫工程，强化脱贫攻坚支撑保障体系，统筹安排使用扶贫资源，注重提高脱贫质量，激发贫困人口脱贫致富积极性主动性，建立健全稳定脱贫长效机制。加强</w:t>
      </w:r>
      <w:r w:rsidRPr="009019B6">
        <w:rPr>
          <w:rFonts w:ascii="微软雅黑" w:eastAsia="微软雅黑" w:hAnsi="微软雅黑" w:cs="宋体" w:hint="eastAsia"/>
          <w:color w:val="000000"/>
          <w:kern w:val="0"/>
          <w:sz w:val="27"/>
          <w:szCs w:val="27"/>
        </w:rPr>
        <w:lastRenderedPageBreak/>
        <w:t>扶贫资金监督管理，在所有贫困县开展涉农资金整合。严格执行脱贫攻坚考核监督和督查巡查等制度，全面落实责任。坚决制止扶贫工作中的形式主义做法，不搞层层加码，严禁弄虚作假，务求脱贫攻坚取得实效。</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六、加大农村改革力度，激活农业农村内生发展动力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26.深化粮食等重要农产品价格形成机制和收储制度改革。坚持并完善稻谷、小麦最低收购价政策，合理调整最低收购价水平，形成合理比价关系。坚定推进玉米市场定价、价补分离改革，健全生产者补贴制度，鼓励多元市场主体入市收购，防止出现卖粮难。采取综合措施促进过腹转化、加工转化，多渠道拓展消费需求，加快消化玉米等库存。调整完善新疆棉花目标价格政策，改进补贴方式。调整大豆目标价格政策。科学确定粮食等重要农产品国家储备规模，优化中央储备粮品种结构和区域布局，改革完善中央储备粮管理体制，充分发挥政策性职能作用，严格政策性粮食监督管理，严防跑冒滴漏，确保储存安全。支持家庭农场、农民合作社科学储粮。</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27.完善农业补贴制度。进一步提高农业补贴政策的指向性和精准性，重点补主产区、适度规模经营、农民收入、绿色生态。深入推进农业“三项补贴”制度改革。完善粮食主产区利益补偿机制，稳定产粮大县奖励政策，调整产粮大省奖励资金使用范围，盘活粮食风险基金。完善农机购置补贴政策，加大对粮棉油糖和饲草料生产全程机械化所需机具的补贴力度。深入实施新一轮草原生态保护补助奖励政策。健全林业补贴政策，扩大湿地生态效益补偿实施范围。</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28.改革财政支农投入机制。坚持把农业农村作为财政支出的优先保障领域，确保农业农村投入适度增加，着力优化投入结构，创新使用方式，提升支农效能。固定资产投资继续向农业农村倾斜。发挥规划统筹引领作用，多层次多形式推进涉农资金整合。推进专项转移支付预算编制环节源头整合改革，探索实行“大专项＋任务清单”管理方式。创新财政资金使用方式，推广政府和社会资本合作，实行以奖代补和贴息，支持建立担保机制，鼓励地方建立风险补偿基金，撬动金融和社会资本更多投向农业农村。建立健全全国农业信贷担保体系，推进省级信贷担保机构向市县延伸，支持有条件的市县尽快建立担保机构，实现实质性运营。拓宽农业农村基础设施投融资渠道，支持社会资本以特许经营、参股控股等方式参与农林水利、农垦等项目建设运营。鼓励地方政府和社会资本设立各类农业农村发展投资基金。加大地方政府债券支持农村基础设施建设力度。在符合有关法律和规定的前提下，探索以市场化方式筹集资金，用于农业农村建设。研究制定引导和规范工商资本投资农业农村的具体意见。对各级财政支持的各类小型项目，优先安排农村集体经济组织、农民合作组织等作为建设管护主体，强化农民参与和全程监督。</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29.加快农村金融创新。强化激励约束机制，确保“三农”贷款投放持续增长。支持金融机构增加县域网点，适当下放县域分支机构业务审批权限。对涉农业务较多的金融机构，进一步完善差别化考核办法。落实涉农贷款增量奖励政策。支持农村商业银行、农村合作银行、村镇银行等农村中小金融机构立足县域，加大服务“三农”力度，健全内部控</w:t>
      </w:r>
      <w:r w:rsidRPr="009019B6">
        <w:rPr>
          <w:rFonts w:ascii="微软雅黑" w:eastAsia="微软雅黑" w:hAnsi="微软雅黑" w:cs="宋体" w:hint="eastAsia"/>
          <w:color w:val="000000"/>
          <w:kern w:val="0"/>
          <w:sz w:val="27"/>
          <w:szCs w:val="27"/>
        </w:rPr>
        <w:lastRenderedPageBreak/>
        <w:t>制和风险管理制度。规范发展农村资金互助组织，严格落实监管主体和责任。开展农民合作社内部信用合作试点，鼓励发展农业互助保险。支持国家开发银行创新信贷投放方式。完善农业发展银行风险补偿机制和资本金补充制度，加大对粮食多元市场主体入市收购的信贷支持力度。深化农业银行三农金融事业部改革，对达标县域机构执行优惠的存款准备金率。加快完善邮储银行三农金融事业部运作机制，研究给予相关优惠政策。抓紧研究制定农村信用社省联社改革方案。优化村镇银行设立模式，提高县市覆盖面。鼓励金融机构积极利用互联网技术，为农业经营主体提供小额存贷款、支付结算和保险等金融服务。推进信用户、信用村、信用乡镇创建。支持金融机构开展适合新型农业经营主体的订单融资和应收账款融资业务。深入推进承包土地的经营权和农民住房财产权抵押贷款试点，探索开展大型农机具、农业生产设施抵押贷款业务。加快农村各类资源资产权属认定，推动部门确权信息与银行业金融机构联网共享。持续推进农业保险扩面、增品、提标，开发满足新型农业经营主体需求的保险产品，采取以奖代补方式支持地方开展特色农产品保险。鼓励地方多渠道筹集资金，支持扩大农产品价格指数保险试点。探索建立农产品收入保险制度。支持符合条件的涉农企业上市融资、发行债券、兼并重组。在健全风险阻断机制前提下，完善财政与金融支农协作模式。鼓励金融机构发行“三农”专项金融债。扩大银行与保险公司合作，发展保证保险贷款产品。深入推进农产品期货、期权市场建设，积极引导涉农企业利用期货、期权管理市场风险，稳步扩大“保险＋期货”试点。严厉打击农村非法集资和金融诈骗。积极推动农村金融立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30.深化农村集体产权制度改革。落实农村土地集体所有权、农户承包权、土地经营权“三权分置”办法。加快推进农村承包地确权登记颁证，扩大整省试点范围。统筹协调推进农村土地征收、集体经营性建设用地入市、宅基地制度改革试点。全面加快“房地一体”的农村宅基地和集体建设用地确权登记颁证工作。认真总结农村宅基地制度改革试点经验，在充分保障农户宅基地用益物权、防止外部资本侵占控制的前提下，落实宅基地集体所有权，维护农户依法取得的宅基地占有和使用权，探索农村集体组织以出租、合作等方式盘活利用空闲农房及宅基地，增加农民财产性收入。允许地方多渠道筹集资金，按规定用于村集体对进城落户农民自愿退出承包地、宅基地的补偿。抓紧研究制定农村集体经济组织相关法律，赋予农村集体经济组织法人资格。全面开展农村集体资产清产核资。稳妥有序、由点及面推进农村集体经营性资产股份合作制改革，确认成员身份，量化经营性资产，保障农民集体资产权利。从实际出发探索发展集体经济有效途径，鼓励地方开展资源变资产、资金变股金、农民变股东等改革，增强集体经济发展活力和实力。研究制定支持农村集体产权制度改革的税收政策。深化集体林权制度改革。加快水权水市场建设，推进水资源使用权确权和进场交易。加快农村产权交易市场建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31.探索建立农业农村发展用地保障机制。优化城乡建设用地布局，合理安排农业农村各业用地。完善新增建设用地保障机制，将年度新增建设用地计划指标确定一定比例用于支持农村新产业新业态发展。加快编制村级土地利用规划。在控制农村建设用地总量、不占用永久基本农</w:t>
      </w:r>
      <w:r w:rsidRPr="009019B6">
        <w:rPr>
          <w:rFonts w:ascii="微软雅黑" w:eastAsia="微软雅黑" w:hAnsi="微软雅黑" w:cs="宋体" w:hint="eastAsia"/>
          <w:color w:val="000000"/>
          <w:kern w:val="0"/>
          <w:sz w:val="27"/>
          <w:szCs w:val="27"/>
        </w:rPr>
        <w:lastRenderedPageBreak/>
        <w:t>田前提下，加大盘活农村存量建设用地力度。允许通过村庄整治、宅基地整理等节约的建设用地采取入股、联营等方式，重点支持乡村休闲旅游养老等产业和农村三产融合发展，严禁违法违规开发房地产或建私人庄园会所。完善农业用地政策，积极支持农产品冷链、初加工、休闲采摘、仓储等设施建设。改进耕地占补平衡管理办法，严格落实耕地占补平衡责任，探索对资源匮乏省份补充耕地实行国家统筹。</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32.健全农业劳动力转移就业和农村创业创新体制。完善城乡劳动者平等就业制度，健全农业劳动力转移就业服务体系，鼓励多渠道就业，切实保障农民工合法权益，着力解决新生代、身患职业病等农民工群体面临的突出问题。支持进城农民工返乡创业，带动现代农业和农村新产业新业态发展。鼓励高校毕业生、企业主、农业科技人员、留学归国人员等各类人才回乡下乡创业创新，将现代科技、生产方式和经营模式引入农村。整合落实支持农村创业创新的市场准入、财政税收、金融服务、用地用电、创业培训、社会保障等方面优惠政策。鼓励各地建立返乡创业园、创业孵化基地、创客服务平台，开设开放式服务窗口，提供一站式服务。</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33.统筹推进农村各项改革。继续深化供销合作社综合改革，增强为农服务能力。稳步推进国有林区和国有林场改革，加快转型升级。深化农垦改革，培育具有竞争力的现代农业企业集团。深化经济发达镇行政管理体制改革。全面推行河长制，确保2018年年底前全面建立省市县乡四级河长体系。扩大水资源税改革试点。继续加强农村改革试验区和</w:t>
      </w:r>
      <w:r w:rsidRPr="009019B6">
        <w:rPr>
          <w:rFonts w:ascii="微软雅黑" w:eastAsia="微软雅黑" w:hAnsi="微软雅黑" w:cs="宋体" w:hint="eastAsia"/>
          <w:color w:val="000000"/>
          <w:kern w:val="0"/>
          <w:sz w:val="27"/>
          <w:szCs w:val="27"/>
        </w:rPr>
        <w:lastRenderedPageBreak/>
        <w:t>国家现代农业示范区工作。开展农村综合性改革试点试验。尊重农民实践创造，鼓励基层先行先试，完善激励机制和容错机制。加强对农村各类改革试点试验的指导督查，及时总结可复制可推广经验，推动相关政策出台和法律法规修改，为推进农业供给侧结构性改革提供法治保障。扎实做好第三次全国农业普查工作。</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级党委和政府必须始终坚持把解决好“三农”问题作为全党工作重中之重不动摇，重农强农调子不能变、力度不能减，切实把认识和行动统一到中央决策部署上来，把农业农村工作的重心转移到推进农业供给侧结构性改革上来，落实到政策制定、工作部署、财力投放、干部配备等各个方面。要深入贯彻党的十八届六中全会精神，切实增强“四个意识”，将全面从严治党要求落实到农村基层，严格落实农村基层党建工作责任制，坚持整乡推进、整县提升，切实加强农村基层党组织建设，全面规范农村基层党组织生活，持续整顿软弱涣散村党组织，选好管好用好农村基层党组织带头人，实行村党组织书记县级备案管理，强化村级组织运转经费保障，发展壮大村级集体经济。扎实推进抓党建促脱贫攻坚工作，充分发挥村党组织第一书记的重要作用。县乡纪委要把查处侵害群众利益的不正之风和腐败问题作为主要工作任务。加强农民负担监管。完善村党组织领导的村民自治有效实现形式，加强村务监督委员会建设，健全务实管用的村务监督机制，开展以村民小组、自然村为基本单元的村民自治试点工作。深化农村社区建设试点。培育与社会主义核心价值观相契合、与社会主义新农村建设相适应的优良家风、文明乡风和新乡贤文化。提升农民思想道德和科学文化素质，加强农村移风易</w:t>
      </w:r>
      <w:r w:rsidRPr="009019B6">
        <w:rPr>
          <w:rFonts w:ascii="微软雅黑" w:eastAsia="微软雅黑" w:hAnsi="微软雅黑" w:cs="宋体" w:hint="eastAsia"/>
          <w:color w:val="000000"/>
          <w:kern w:val="0"/>
          <w:sz w:val="27"/>
          <w:szCs w:val="27"/>
        </w:rPr>
        <w:lastRenderedPageBreak/>
        <w:t>俗工作，引导群众抵制婚丧嫁娶大操大办、人情债等陈规陋习。强化农村社会治安管理、法律宣传教育服务和信访工作。加大“三农”工作宣传力度，为农村改革发展稳定营造良好氛围。</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让我们更加紧密团结在以习近平同志为核心的党中央周围，锐意进取，攻坚克难，扎实推进农业供给侧结构性改革，以优异成绩迎接党的十九大召开！</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3" w:name="_Toc12864274"/>
      <w:r w:rsidRPr="009019B6">
        <w:rPr>
          <w:rFonts w:hint="eastAsia"/>
          <w:sz w:val="30"/>
          <w:szCs w:val="30"/>
        </w:rPr>
        <w:lastRenderedPageBreak/>
        <w:t>中共中央办公厅</w:t>
      </w:r>
      <w:r w:rsidRPr="009019B6">
        <w:rPr>
          <w:rFonts w:hint="eastAsia"/>
          <w:sz w:val="30"/>
          <w:szCs w:val="30"/>
        </w:rPr>
        <w:t xml:space="preserve"> </w:t>
      </w:r>
      <w:r w:rsidRPr="009019B6">
        <w:rPr>
          <w:rFonts w:hint="eastAsia"/>
          <w:sz w:val="30"/>
          <w:szCs w:val="30"/>
        </w:rPr>
        <w:t>国务院办公厅印发《关于创新体制机制推进农业绿色发展的意见》</w:t>
      </w:r>
      <w:bookmarkEnd w:id="123"/>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推进农业绿色发展，是贯彻新发展理念、推进农业供给侧结构性改革的必然要求，是加快农业现代化、促进农业可持续发展的重大举措，是守住绿水青山、建设美丽中国的时代担当，对保障国家食物安全、资源安全和生态安全，维系当代人福祉和保障子孙后代永续发展具有重大意义。党的十八大以来，党中央、国务院作出一系列重大决策部署，农业绿色发展实现了良好开局。但总体上看，农业主要依靠资源消耗的粗放经营方式没有根本改变，农业面源污染和生态退化的趋势尚未有效遏制，绿色优质农产品和生态产品供给还不能满足人民群众日益增长的需求，农业支撑保障制度体系有待进一步健全。为创新体制机制，推进农业绿色发展，现提出如下意见。</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一、总体要求</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指导思想。全面贯彻党的十八大和十八届三中、四中、五中、六中全会精神，深入贯彻习近平总书记系列重要讲话精神和治国理政新理念新思想新战略，紧紧围绕统筹推进“五位一体”总体布局和协调推进“四个全面”战略布局，牢固树立和贯彻落实新发展理念，认真落实党中央、国务院决策部署，以绿水青山就是金山银山理念为指引，以资源环境承载力为基准，以推进农业供给侧结构性改革为主线，尊重农业发展规律，强化改革创新、激励约束和政府监管，转变农业发展方式，优化空间布局，节约利用资源，保护产地环境，提升生态服务功能，全</w:t>
      </w:r>
      <w:r w:rsidRPr="009019B6">
        <w:rPr>
          <w:rFonts w:ascii="微软雅黑" w:eastAsia="微软雅黑" w:hAnsi="微软雅黑" w:cs="宋体" w:hint="eastAsia"/>
          <w:color w:val="000000"/>
          <w:kern w:val="0"/>
          <w:sz w:val="27"/>
          <w:szCs w:val="27"/>
        </w:rPr>
        <w:lastRenderedPageBreak/>
        <w:t>力构建人与自然和谐共生的农业发展新格局，推动形成绿色生产方式和生活方式，实现农业强、农民富、农村美，为建设美丽中国、增进民生福祉、实现经济社会可持续发展提供坚实支撑。</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（二）基本原则</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以空间优化、资源节约、环境友好、生态稳定为基本路径。牢固树立节约集约循环利用的资源观，把保护生态环境放在优先位置，落实构建生态功能保障基线、环境质量安全底线、自然资源利用上线的要求，防止将农业生产与生态建设对立，把绿色发展导向贯穿农业发展全过程。</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以粮食安全、绿色供给、农民增收为基本任务。突出保供给、保收入、保生态的协调统一，保障国家粮食安全，增加绿色优质农产品供给，构建绿色发展产业链价值链，提升质量效益和竞争力，变绿色为效益，促进农民增收，助力脱贫攻坚。</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以制度创新、政策创新、科技创新为基本动力。全面深化改革，构建以资源管控、环境监控和产业准入负面清单为主要内容的农业绿色发展制度体系，科学适度有序的农业空间布局体系，绿色循环发展的农业产业体系，以绿色生态为导向的政策支持体系和科技创新推广体系，全面激活农业绿色发展的内生动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——坚持以农民主体、市场主导、政府依法监管为基本遵循。既要明确生产经营者主体责任，又要通过市场引导和政府支持，调动广大农</w:t>
      </w:r>
      <w:r w:rsidRPr="009019B6">
        <w:rPr>
          <w:rFonts w:ascii="微软雅黑" w:eastAsia="微软雅黑" w:hAnsi="微软雅黑" w:cs="宋体" w:hint="eastAsia"/>
          <w:color w:val="000000"/>
          <w:kern w:val="0"/>
          <w:sz w:val="27"/>
          <w:szCs w:val="27"/>
        </w:rPr>
        <w:lastRenderedPageBreak/>
        <w:t>民参与绿色发展的积极性，推动实现资源有偿使用、环境保护有责、生态功能改善激励、产品优质优价。加大政府支持和执法监管力度，形成保护有奖、违法必究的明确导向。</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目标任务。把农业绿色发展摆在生态文明建设全局的突出位置，全面建立以绿色生态为导向的制度体系，基本形成与资源环境承载力相匹配、与生产生活生态相协调的农业发展格局，努力实现耕地数量不减少、耕地质量不降低、地下水不超采，化肥、农药使用量零增长，秸秆、畜禽粪污、农膜全利用，实现农业可持续发展、农民生活更加富裕、乡村更加美丽宜居。</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资源利用更加节约高效。到2020年，严守18.65亿亩耕地红线，全国耕地质量平均比2015年提高0.5个等级，农田灌溉水有效利用系数提高到0.55以上。到2030年，全国耕地质量水平和农业用水效率进一步提高。</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产地环境更加清洁。到2020年，主要农作物化肥、农药使用量实现零增长，化肥、农药利用率达到40%；秸秆综合利用率达到85%，养殖废弃物综合利用率达到75%，农膜回收率达到80%。到2030年，化肥、农药利用率进一步提升，农业废弃物全面实现资源化利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生态系统更加稳定。到2020年，全国森林覆盖率达到23%以上，湿地面积不低于8亿亩，基本农田林网控制率达到95%，草原综合植被盖度达到56%。到2030年，田园、草原、森林、湿地、水域生态系统进一步改善。</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绿色供给能力明显提升。到2020年，全国粮食（谷物）综合生产能力稳定在5.5亿吨以上，农产品质量安全水平和品牌农产品占比明显提升，休闲农业和乡村旅游加快发展。到2030年，农产品供给更加优质安全，农业生态服务能力进一步提高。</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二、优化农业主体功能与空间布局</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落实农业功能区制度。大力实施国家主体功能区战略，依托全国农业可持续发展规划和优势农产品区域布局规划，立足水土资源匹配性，将农业发展区域细划为优化发展区、适度发展区、保护发展区，明确区域发展重点。加快划定粮食生产功能区、重要农产品生产保护区，认定特色农产品优势区，明确区域生产功能。</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建立农业生产力布局制度。围绕解决空间布局上资源错配和供给错位的结构性矛盾，努力建立反映市场供求与资源稀缺程度的农业生产力布局，鼓励因地制宜、就地生产、就近供应，建立主要农产品生产布局定期监测和动态调整机制。在优化发展区更好发挥资源优势，提升重要农产品生产能力；在适度发展区加快调整农业结构，限制资源消耗大的产业规模；在保护发展区坚持保护优先、限制开发，加大生态建设力度，实现保供给与保生态有机统一。完善粮食主产区利益补偿机制，健全粮食产销协作机制，推动粮食产销横向利益补偿。鼓励地方积极开展试验示范、农垦率先示范，提高军地农业绿色发展水平。推进国家农业可持续发展试验示范区创建，同时成为农业绿色发展的试点先行区。</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六）完善农业资源环境管控制度。强化耕地、草原、渔业水域、湿地等用途管控，严控围湖造田、滥垦滥占草原等不合理开发建设活动对资源环境的破坏。坚持最严格的耕地保护制度，全面落实永久基本农田特殊保护政策措施。以县为单位，针对农业资源与生态环境突出问题，建立农业产业准入负面清单制度，因地制宜制定禁止和限制发展产业目录，明确种植业、养殖业发展方向和开发强度，强化准入管理和底线约束，分类推进重点地区资源保护和严重污染地区治理。</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七）建立农业绿色循环低碳生产制度。在华北、西北等地下水过度利用区适度压减高耗水作物，在东北地区严格控制旱改水，选育推广节肥、节水、抗病新品种。以土地消纳粪污能力确定养殖规模，引导畜牧业生产向环境容量大的地区转移，科学合理划定禁养区，适度调减南方水网地区养殖总量。禁养区划定减少的畜禽规模养殖用地，可在适宜养殖区域按有关规定及时予以安排，并强化服务。实施动物疫病净化计划，推动动物疫病防控从有效控制到逐步净化消灭转变。推行水产健康养殖制度，合理确定湖泊、水库、滩涂、近岸海域等养殖规模和养殖密度，逐步减少河流湖库、近岸海域投饵网箱养殖，防控水产养殖污染。建立低碳、低耗、循环、高效的加工流通体系。探索区域农业循环利用机制，实施粮经饲统筹、种养加结合、农林牧渔融合循环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（八）建立贫困地区农业绿色开发机制。立足贫困地区资源禀赋，坚持保护环境优先，因地制宜选择有资源优势的特色产业，推进产业精准扶贫。把贫困地区生态环境优势转化为经济优势，推行绿色生产方式，</w:t>
      </w:r>
      <w:r w:rsidRPr="009019B6">
        <w:rPr>
          <w:rFonts w:ascii="微软雅黑" w:eastAsia="微软雅黑" w:hAnsi="微软雅黑" w:cs="宋体" w:hint="eastAsia"/>
          <w:color w:val="000000"/>
          <w:kern w:val="0"/>
          <w:sz w:val="27"/>
          <w:szCs w:val="27"/>
        </w:rPr>
        <w:lastRenderedPageBreak/>
        <w:t>大力发展绿色、有机和地理标志优质特色农产品，支持创建区域品牌；推进一二三产融合发展，发挥生态资源优势，发展休闲农业和乡村旅游，带动贫困农户脱贫致富。</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三、强化资源保护与节约利用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九）建立耕地轮作休耕制度。推动用地与养地相结合，集成推广绿色生产、综合治理的技术模式，在确保国家粮食安全和农民收入稳定增长的前提下，对土壤污染严重、区域生态功能退化、可利用水资源匮乏等不宜连续耕作的农田实行轮作休耕。降低耕地利用强度，落实东北黑土地保护制度，管控西北内陆、沿海滩涂等区域开垦耕地行为。全面建立耕地质量监测和等级评价制度，明确经营者耕地保护主体责任。实施土地整治，推进高标准农田建设。</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建立节约高效的农业用水制度。推行农业灌溉用水总量控制和定额管理。强化农业取水许可管理，严格控制地下水利用，加大地下水超采治理力度。全面推进农业水价综合改革，按照总体不增加农民负担的原则，加快建立合理农业水价形成机制和节水激励机制，切实保护农民合理用水权益，提高农民有偿用水意识和节水积极性。突出农艺节水和工程节水措施，推广水肥一体化及喷灌、微灌、管道输水灌溉等农业节水技术，健全基层节水农业技术推广服务体系。充分利用天然降水，积极有序发展雨养农业。</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（十一）健全农业生物资源保护与利用体系。加强动植物种质资源保护利用，加快国家种质资源库、畜禽水产基因库和资源保护场（区、</w:t>
      </w:r>
      <w:r w:rsidRPr="009019B6">
        <w:rPr>
          <w:rFonts w:ascii="微软雅黑" w:eastAsia="微软雅黑" w:hAnsi="微软雅黑" w:cs="宋体" w:hint="eastAsia"/>
          <w:color w:val="000000"/>
          <w:kern w:val="0"/>
          <w:sz w:val="27"/>
          <w:szCs w:val="27"/>
        </w:rPr>
        <w:lastRenderedPageBreak/>
        <w:t>圃）规划建设，推进种质资源收集保存、鉴定和育种，全面普查农作物种质资源。加强野生动植物自然保护区建设，推进濒危野生植物资源原生境保护、移植保存和人工繁育。实施生物多样性保护重大工程，开展濒危野生动植物物种调查和专项救护，实施珍稀濒危水生生物保护行动计划和长江珍稀特有水生生物拯救工程。加强海洋渔业资源调查研究能力建设。完善外来物种风险监测评估与防控机制，建设生物天敌繁育基地和关键区域生物入侵阻隔带，扩大生物替代防治示范技术试点规模。</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四、加强产地环境保护与治理</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二）建立工业和城镇污染向农业转移防控机制。制定农田污染控制标准，建立监测体系，严格工业和城镇污染物处理和达标排放，依法禁止未经处理达标的工业和城镇污染物进入农田、养殖水域等农业区域。强化经常性执法监管制度建设。出台耕地土壤污染治理及效果评价标准，开展污染耕地分类治理。</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三）健全农业投入品减量使用制度。继续实施化肥农药使用量零增长行动，推广有机肥替代化肥、测土配方施肥，强化病虫害统防统治和全程绿色防控。完善农药风险评估技术标准体系，加快实施高剧毒农药替代计划。规范限量使用饲料添加剂，减量使用兽用抗菌药物。建立农业投入品电子追溯制度，严格农业投入品生产和使用管理，支持低消耗、低残留、低污染农业投入品生产。</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（十四）完善秸秆和畜禽粪污等资源化利用制度。严格依法落实秸秆禁烧制度，整县推进秸秆全量化综合利用，优先开展就地还田。推进</w:t>
      </w:r>
      <w:r w:rsidRPr="009019B6">
        <w:rPr>
          <w:rFonts w:ascii="微软雅黑" w:eastAsia="微软雅黑" w:hAnsi="微软雅黑" w:cs="宋体" w:hint="eastAsia"/>
          <w:color w:val="000000"/>
          <w:kern w:val="0"/>
          <w:sz w:val="27"/>
          <w:szCs w:val="27"/>
        </w:rPr>
        <w:lastRenderedPageBreak/>
        <w:t>秸秆发电并网运行和全额保障性收购，开展秸秆高值化、产业化利用，落实好沼气、秸秆等可再生能源电价政策。开展尾菜、农产品加工副产物资源化利用。以沼气和生物天然气为主要处理方向，以农用有机肥和农村能源为主要利用方向，强化畜禽粪污资源化利用，依法落实规模养殖环境评价准入制度，明确地方政府属地责任和规模养殖场主体责任。依据土地利用规划，积极保障秸秆和畜禽粪污资源化利用用地。健全病死畜禽无害化处理体系，引导病死畜禽集中处理。</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五）完善废旧地膜和包装废弃物等回收处理制度。加快出台新的地膜标准，依法强制生产、销售和使用符合标准的加厚地膜，以县为单位开展地膜使用全回收、消除土壤残留等试验试点。建立农药包装废弃物等回收和集中处理体系，落实使用者妥善收集、生产者和经营者回收处理的责任。</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五、养护修复农业生态系统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六）构建田园生态系统。遵循生态系统整体性、生物多样性规律，合理确定种养规模，建设完善生物缓冲带、防护林网、灌溉渠系等田间基础设施，恢复田间生物群落和生态链，实现农田生态循环和稳定。优化乡村种植、养殖、居住等功能布局，拓展农业多种功能，打造种养结合、生态循环、环境优美的田园生态系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（十七）创新草原保护制度。健全草原产权制度，规范草原经营权流转，探索建立全民所有草原资源有偿使用和分级行使所有权制度。落实草原生态保护补助奖励政策，严格实施草原禁牧休牧轮牧和草畜平衡</w:t>
      </w:r>
      <w:r w:rsidRPr="009019B6">
        <w:rPr>
          <w:rFonts w:ascii="微软雅黑" w:eastAsia="微软雅黑" w:hAnsi="微软雅黑" w:cs="宋体" w:hint="eastAsia"/>
          <w:color w:val="000000"/>
          <w:kern w:val="0"/>
          <w:sz w:val="27"/>
          <w:szCs w:val="27"/>
        </w:rPr>
        <w:lastRenderedPageBreak/>
        <w:t>制度，防止超载过牧。加强严重退化、沙化草原治理。完善草原监管制度，加强草原监理体系建设，强化草原征占用审核审批管理，落实土地用途管制制度。</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八）健全水生生态保护修复制度。科学划定江河湖海限捕、禁捕区域，健全海洋伏季休渔和长江、黄河、珠江等重点河流禁渔期制度，率先在长江流域水生生物保护区实现全面禁捕，严厉打击“绝户网”等非法捕捞行为。实施海洋渔业资源总量管理制度，完善渔船管理制度，建立幼鱼资源保护机制，开展捕捞限额试点，推进海洋牧场建设。完善水生生物增殖放流，加强水生生物资源养护。因地制宜实施河湖水系自然连通，确定河道砂石禁采区、禁采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九）实行林业和湿地养护制度。建设覆盖全面、布局合理、结构优化的农田防护林和村镇绿化林带。严格实施湿地分级管理制度，严格保护国际重要湿地、国家重要湿地、国家级湿地自然保护区和国家湿地公园等重要湿地。开展退化湿地恢复和修复，严格控制开发利用和围垦强度。加快构建退耕还林还草、退耕还湿、防沙治沙，以及石漠化、水土流失综合生态治理长效机制。</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六、健全创新驱动与约束激励机制</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构建支撑农业绿色发展的科技创新体系。完善科研单位、高校、企业等各类创新主体协同攻关机制，开展以农业绿色生产为重点的科技联合攻关。在农业投入品减量高效利用、种业主要作物联合攻关、有害生物绿色防控、废弃物资源化利用、产地环境修复和农产品绿色加</w:t>
      </w:r>
      <w:r w:rsidRPr="009019B6">
        <w:rPr>
          <w:rFonts w:ascii="微软雅黑" w:eastAsia="微软雅黑" w:hAnsi="微软雅黑" w:cs="宋体" w:hint="eastAsia"/>
          <w:color w:val="000000"/>
          <w:kern w:val="0"/>
          <w:sz w:val="27"/>
          <w:szCs w:val="27"/>
        </w:rPr>
        <w:lastRenderedPageBreak/>
        <w:t>工贮藏等领域尽快取得一批突破性科研成果。完善农业绿色科技创新成果评价和转化机制，探索建立农业技术环境风险评估体系，加快成熟适用绿色技术、绿色品种的示范、推广和应用。借鉴国际农业绿色发展经验，加强国际间科技和成果交流合作。</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一）完善农业生态补贴制度。建立与耕地地力提升和责任落实相挂钩的耕地地力保护补贴机制。改革完善农产品价格形成机制，深化棉花目标价格补贴，统筹玉米和大豆生产者补贴，坚持补贴向优势区倾斜，减少或退出非优势区补贴。改革渔业补贴政策，支持捕捞渔民减船转产、海洋牧场建设、增殖放流等资源养护措施。完善耕地、草原、森林、湿地、水生生物等生态补偿政策，继续支持退耕还林还草。有效利用绿色金融激励机制，探索绿色金融服务农业绿色发展的有效方式，加大绿色信贷及专业化担保支持力度，创新绿色生态农业保险产品。加大政府和社会资本合作（PPP）在农业绿色发展领域的推广应用，引导社会资本投向农业资源节约、废弃物资源化利用、动物疫病净化和生态保护修复等领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二）建立绿色农业标准体系。清理、废止与农业绿色发展不适应的标准和行业规范。制定修订农兽药残留、畜禽屠宰、饲料卫生安全、冷链物流、畜禽粪污资源化利用、水产养殖尾水排放等国家标准和行业标准。强化农产品质量安全认证机构监管和认证过程管控。改革无公害农产品认证制度，加快建立统一的绿色农产品市场准入标准，提升绿色食品、有机农产品和地理标志农产品等认证的公信力和权威性。实</w:t>
      </w:r>
      <w:r w:rsidRPr="009019B6">
        <w:rPr>
          <w:rFonts w:ascii="微软雅黑" w:eastAsia="微软雅黑" w:hAnsi="微软雅黑" w:cs="宋体" w:hint="eastAsia"/>
          <w:color w:val="000000"/>
          <w:kern w:val="0"/>
          <w:sz w:val="27"/>
          <w:szCs w:val="27"/>
        </w:rPr>
        <w:lastRenderedPageBreak/>
        <w:t>施农业绿色品牌战略，培育具有区域优势特色和国际竞争力的农产品区域公用品牌、企业品牌和产品品牌。加强农产品质量安全全程监管，健全与市场准入相衔接的食用农产品合格证制度，依托现有资源建立国家农产品质量安全追溯管理平台，加快农产品质量安全追溯体系建设。积极参与国际标准的制定修订，推进农产品认证结果互认。</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三）完善绿色农业法律法规体系。研究制定修订体现农业绿色发展需求的法律法规，完善耕地保护、农业污染防治、农业生态保护、农业投入品管理等方面的法律制度。开展农业节约用水立法研究工作。加大执法和监督力度，依法打击破坏农业资源环境的违法行为。健全重大环境事件和污染事故责任追究制度及损害赔偿制度，提高违法成本和惩罚标准。</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四）建立农业资源环境生态监测预警体系。建立耕地、草原、渔业水域、生物资源、产地环境以及农产品生产、市场、消费信息监测体系，加强基础设施建设，统一标准方法，实时监测报告，科学分析评价，及时发布预警。定期监测农业资源环境承载能力，建立重要农业资源台账制度，构建充分体现资源稀缺和损耗程度的生产成本核算机制，研究农业生态价值统计方法。充分利用农业信息技术，构建天空地数字农业管理系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（二十五）健全农业人才培养机制。把节约利用农业资源、保护产地环境、提升生态服务功能等内容纳入农业人才培养范畴，培养一批具有绿色发展理念、掌握绿色生产技术技能的农业人才和新型职业农民。</w:t>
      </w:r>
      <w:r w:rsidRPr="009019B6">
        <w:rPr>
          <w:rFonts w:ascii="微软雅黑" w:eastAsia="微软雅黑" w:hAnsi="微软雅黑" w:cs="宋体" w:hint="eastAsia"/>
          <w:color w:val="000000"/>
          <w:kern w:val="0"/>
          <w:sz w:val="27"/>
          <w:szCs w:val="27"/>
        </w:rPr>
        <w:lastRenderedPageBreak/>
        <w:t>积极培育新型农业经营主体，鼓励其率先开展绿色生产。健全生态管护员制度，在生态环境脆弱地区因地制宜增加护林员、草管员等公益岗位。</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七、保障措施</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六）落实领导责任。地方各级党委和政府要加强组织领导，把农业绿色发展纳入领导干部任期生态文明建设责任制内容。农业部要发挥好牵头协调作用，会同有关部门按照本意见的要求，抓紧研究制定具体实施方案，明确目标任务、职责分工和具体要求，建立农业绿色发展推进机制，确保各项政策措施落到实处，重要情况要及时向党中央、国务院报告。</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七）实施农业绿色发展全民行动。在生产领域，推行畜禽粪污资源化利用、有机肥替代化肥、秸秆综合利用、农膜回收、水生生物保护，以及投入品绿色生产、加工流通绿色循环、营销包装低耗低碳等绿色生产方式。在消费领域，从国民教育、新闻宣传、科学普及、思想文化等方面入手，持续开展“光盘行动”，推动形成厉行节约、反对浪费、抵制奢侈、低碳循环等绿色生活方式。</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八）建立考核奖惩制度。依据绿色发展指标体系，完善农业绿色发展评价指标，适时开展部门联合督查。结合生态文明建设目标评价考核工作，对农业绿色发展情况进行评价和考核。建立奖惩机制，对农业绿色发展中取得显著成绩的单位和个人，按照有关规定给予表彰，对落实不力的进行问责。</w:t>
      </w:r>
    </w:p>
    <w:p w:rsidR="009019B6" w:rsidRDefault="009019B6" w:rsidP="009019B6"/>
    <w:p w:rsidR="009019B6" w:rsidRDefault="009019B6" w:rsidP="009019B6"/>
    <w:p w:rsidR="009019B6" w:rsidRDefault="009019B6" w:rsidP="009019B6">
      <w:pPr>
        <w:pStyle w:val="3"/>
        <w:jc w:val="center"/>
        <w:rPr>
          <w:sz w:val="30"/>
          <w:szCs w:val="30"/>
        </w:rPr>
      </w:pPr>
      <w:bookmarkStart w:id="124" w:name="_Toc12864275"/>
      <w:r w:rsidRPr="009019B6">
        <w:rPr>
          <w:rFonts w:hint="eastAsia"/>
          <w:sz w:val="30"/>
          <w:szCs w:val="30"/>
        </w:rPr>
        <w:lastRenderedPageBreak/>
        <w:t>中共中央办公厅</w:t>
      </w:r>
      <w:r w:rsidRPr="009019B6">
        <w:rPr>
          <w:rFonts w:hint="eastAsia"/>
          <w:sz w:val="30"/>
          <w:szCs w:val="30"/>
        </w:rPr>
        <w:t xml:space="preserve"> </w:t>
      </w:r>
      <w:r w:rsidRPr="009019B6">
        <w:rPr>
          <w:rFonts w:hint="eastAsia"/>
          <w:sz w:val="30"/>
          <w:szCs w:val="30"/>
        </w:rPr>
        <w:t>国务院办公厅印发《关于加快构建政策体系培育新型农业经营主体的意见》</w:t>
      </w:r>
      <w:bookmarkEnd w:id="124"/>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在坚持家庭承包经营基础上，培育从事农业生产和服务的新型农业经营主体是关系我国农业现代化的重大战略。加快培育新型农业经营主体，加快形成以农户家庭经营为基础、合作与联合为纽带、社会化服务为支撑的立体式复合型现代农业经营体系，对于推进农业供给侧结构性改革、引领农业适度规模经营发展、带动农民就业增收、增强农业农村发展新动能具有十分重要的意义。为加快构建政策体系，引导新型农业经营主体健康发展，现提出如下意见。</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一、总体要求</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指导思想。全面贯彻党的十八大和十八届三中、四中、五中、六中全会精神，深入贯彻习近平总书记系列重要讲话精神和治国理政新理念新思想新战略，认真落实党中央、国务院决策部署，紧紧围绕统筹推进“五位一体”总体布局和协调推进“四个全面”战略布局，牢固树立和贯彻落实新发展理念，围绕帮助农民、提高农民、富裕农民，加快培育新型农业经营主体，综合运用多种政策工具，与农业产业政策结合、与脱贫攻坚政策结合，形成比较完备的政策扶持体系，引导新型农业经营主体提升规模经营水平、完善利益分享机制，更好发挥带动农民进入市场、增加收入、建设现代农业的引领作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（二）基本原则</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坚持基本制度。坚持农村土地集体所有，坚持家庭经营基础性地位。既支持新型农业经营主体发展，又不忽视普通农户尤其是贫困农户，发挥新型农业经营主体对普通农户的辐射带动作用，推进家庭经营、集体经营、合作经营、企业经营共同发展。</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市场导向。发挥市场在资源配置中的决定性作用和更好发挥政府作用。运用市场的办法推进生产要素向新型农业经营主体优化配置，发挥政策引导作用，优化存量、倾斜增量，撬动更多社会资本投向农业，既扶优扶强、又不“垒大户”，既积极支持、又不搞“大呼隆”，为新型农业经营主体发展创造公平的市场环境。</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因地制宜。充分发挥农民首创精神，鼓励各地积极探索，不断创新经营组织形式，不断创设扶持政策措施，重点支持新型农业经营主体发展绿色农业、生态农业、循环农业，率先实施标准化生产、品牌化营销、一二三产业融合，走产出高效、产品安全、资源节约、环境友好的发展道路。</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——坚持落地见效。明确政策实施主体，健全政策执行评估机制，发挥政府督查和社会舆论监督作用，形成齐抓共促合力，确保政策措施落到实处。</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（三）主要目标。到2020年，基本形成与世界贸易组织规则相衔接、与国家财力增长相适应的投入稳定增长机制和政策落实与绩效评估机制，构建框架完整、措施精准、机制有效的政策支持体系，不断提升</w:t>
      </w:r>
      <w:r w:rsidRPr="009019B6">
        <w:rPr>
          <w:rFonts w:ascii="微软雅黑" w:eastAsia="微软雅黑" w:hAnsi="微软雅黑" w:cs="宋体" w:hint="eastAsia"/>
          <w:color w:val="000000"/>
          <w:kern w:val="0"/>
          <w:sz w:val="27"/>
          <w:szCs w:val="27"/>
        </w:rPr>
        <w:lastRenderedPageBreak/>
        <w:t>新型农业经营主体适应市场能力和带动农民增收致富能力，进一步提高农业质量效益，促进现代农业发展。</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二、发挥政策对新型农业经营主体发展的引导作用</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引导新型农业经营主体多元融合发展。支持发展规模适度的农户家庭农场和种养大户。鼓励农民以土地、林权、资金、劳动、技术、产品为纽带，开展多种形式的合作与联合，积极发展生产、供销、信用“三位一体”综合合作，依法组建农民合作社联合社。支持农业产业化龙头企业和农民合作社开展农产品加工流通和社会化服务，带动农户发展规模经营。培育多元化农业服务主体，探索建立农技指导、信用评价、保险推广、产品营销于一体的公益性、综合性农业公共服务组织。大力发展农机作业、统防统治、集中育秧、加工储存等生产性服务组织。发挥供销、农垦等系统的优势，强化为农民服务。促进各类新型农业经营主体融合发展，培育和发展农业产业化联合体，鼓励建立产业协会和产业联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引导新型农业经营主体多路径提升规模经营水平。鼓励农民按照依法自愿有偿原则，通过流转土地经营权，提升土地适度规模经营水平。支持新型农业经营主体带动普通农户连片种植、规模饲养，并提供专业服务和生产托管等全程化服务，提升农业服务规模水平。引导新型农业经营主体集群集聚发展，参与粮食生产功能区、重要农产品生产保护区、特色农产品优势区以及现代农业产业园、农业科技园、农业产业化示范基地等建设，促进农业专业化布局、规模化生产。支持新型农</w:t>
      </w:r>
      <w:r w:rsidRPr="009019B6">
        <w:rPr>
          <w:rFonts w:ascii="微软雅黑" w:eastAsia="微软雅黑" w:hAnsi="微软雅黑" w:cs="宋体" w:hint="eastAsia"/>
          <w:color w:val="000000"/>
          <w:kern w:val="0"/>
          <w:sz w:val="27"/>
          <w:szCs w:val="27"/>
        </w:rPr>
        <w:lastRenderedPageBreak/>
        <w:t>业经营主体建设形成一批一村一品、一县一业等特色优势产业和乡村旅游基地，提高产业整体规模效益。</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引导新型农业经营主体多模式完善利益分享机制。引导和支持新型农业经营主体发展新产业新业态，扩大就业容量，吸纳农户脱贫致富。总结土地经营权入股农业产业化经营试点经验，推广“保底收益+按股分红”等模式。进一步完善订单带动、利润返还、股份合作等新型农业经营主体与农户的利益联结机制，让农民成为现代农业发展的参与者、受益者，防止被挤出、受损害。支持龙头企业与农户共同设立风险保障金。探索建立政府扶持资金既帮助新型农业经营主体提升竞争力，又增强其带动农户发展能力，让更多农户分享政策红利的有效机制。鼓励地方将新型农业经营主体带动农户数量和成效作为相关财政支农资金和项目审批、验收的重要参考依据。允许将财政资金特别是扶贫资金量化到农村集体经济组织和农户后，以自愿入股方式投入新型农业经营主体，让农户共享发展收益。</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七）引导新型农业经营主体多形式提高发展质量。鼓励农户家庭农场使用规范的生产记录和财务收支记录，提升标准化生产和经营管理水平。引导农民合作社依照章程加强民主管理、民主监督，发挥成员积极性，共同办好合作社。鼓励龙头企业通过兼并重组，建立现代企业制度，加大科技创新，优化产品结构，强化品牌建设，提升农产品质量安全水平和市场竞争力。鼓励各类社会化服务组织按照生产作业标准或服务标准，提高服务质量水平。深入推进示范家庭农场、农民合作社示范</w:t>
      </w:r>
      <w:r w:rsidRPr="009019B6">
        <w:rPr>
          <w:rFonts w:ascii="微软雅黑" w:eastAsia="微软雅黑" w:hAnsi="微软雅黑" w:cs="宋体" w:hint="eastAsia"/>
          <w:color w:val="000000"/>
          <w:kern w:val="0"/>
          <w:sz w:val="27"/>
          <w:szCs w:val="27"/>
        </w:rPr>
        <w:lastRenderedPageBreak/>
        <w:t>社、农业产业化示范基地、农业示范服务组织、一村一品示范村镇创建，发挥示范带动作用。</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三、建立健全支持新型农业经营主体发展政策体系</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八）完善财政税收政策。加大新型农业经营主体发展支持力度，针对不同主体，综合采用直接补贴、政府购买服务、定向委托、以奖代补等方式，增强补贴政策的针对性实效性。农机具购置补贴等政策要向新型农业经营主体倾斜。支持新型农业经营主体发展加工流通、直供直销、休闲农业等，实现农村一二三产业融合发展。扩大政府购买农业公益性服务机制创新试点，支持符合条件的经营性服务组织开展公益性服务，建立健全规范程序和监督管理机制。鼓励有条件的地方通过政府购买服务，支持社会化服务组织开展农林牧渔和水利等生产性服务。支持新型农业经营主体打造服务平台，为周边农户提供公共服务。鼓励龙头企业加大研发投入，支持符合条件的龙头企业创建农业高新技术企业。支持地方扩大农产品加工企业进项税额核定扣除试点行业范围，完善农产品初加工所得税优惠目录。落实农民合作社税收优惠政策。</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九）加强基础设施建设。各级财政支持的各类小型项目，优先安排农村集体经济组织、农民合作组织等作为建设管护主体，强化农民参与和全程监督。鼓励推广政府和社会资本合作模式，支持新型农业经营主体和工商资本投资土地整治和高标准农田建设。鼓励新型农业经营主体合建或与农村集体经济组织共建仓储烘干、晾晒场、保鲜库、农机库棚等农业设施。支持龙头企业建立与加工能力相配套的原料基地。统筹</w:t>
      </w:r>
      <w:r w:rsidRPr="009019B6">
        <w:rPr>
          <w:rFonts w:ascii="微软雅黑" w:eastAsia="微软雅黑" w:hAnsi="微软雅黑" w:cs="宋体" w:hint="eastAsia"/>
          <w:color w:val="000000"/>
          <w:kern w:val="0"/>
          <w:sz w:val="27"/>
          <w:szCs w:val="27"/>
        </w:rPr>
        <w:lastRenderedPageBreak/>
        <w:t>规划建设农村物流设施，重点支持一村一品示范村镇和农民合作社示范社建设电商平台基础设施，逐步带动形成以县、乡、村、社为支撑的农村物流网络体系。新型农业经营主体所用生产设施、附属设施和配套设施用地，符合国家有关规定的，按农用地管理。各县（市、区、旗）根据实际情况，在年度建设用地指标中优先安排新型农业经营主体建设配套辅助设施，并按规定减免相关税费。对新型农业经营主体发展较快、用地集约且需求大的地区，适度增加年度新增建设用地指标。通过城乡建设用地增减挂钩节余的用地指标，优先支持新型农业经营主体开展生产经营。允许新型农业经营主体依法依规盘活现有农村集体建设用地发展新产业。新型农业经营主体发展农产品初加工用电执行农业生产电价。推进农业水价综合改革，建立农业用水精准补贴机制和节水奖励机制，在完善水价形成机制的基础上，对符合条件的新型农业经营主体给予奖补。</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改善金融信贷服务。综合运用税收、奖补等政策，鼓励金融机构创新产品和服务，加大对新型农业经营主体、农村产业融合发展的信贷支持。建立健全全国农业信贷担保体系，确保对从事粮食生产和农业适度规模经营的新型农业经营主体的农业信贷担保余额不得低于总担保规模的70%。支持龙头企业为其带动的农户、家庭农场和农民合作社提供贷款担保。有条件的地方可建立市场化林权收储机构，为林业生产贷款提供林权收储担保的机构给予风险补偿。稳步推进农村承包土地经营权和农民住房财产权抵押贷款试点，探索开展粮食生产规模经营主体营销贷款和大型农机具融资租赁试点，积极推动厂房、生产大棚、</w:t>
      </w:r>
      <w:r w:rsidRPr="009019B6">
        <w:rPr>
          <w:rFonts w:ascii="微软雅黑" w:eastAsia="微软雅黑" w:hAnsi="微软雅黑" w:cs="宋体" w:hint="eastAsia"/>
          <w:color w:val="000000"/>
          <w:kern w:val="0"/>
          <w:sz w:val="27"/>
          <w:szCs w:val="27"/>
        </w:rPr>
        <w:lastRenderedPageBreak/>
        <w:t>渔船、大型农机具、农田水利设施产权抵押贷款和生产订单、农业保单融资。鼓励发展新型农村合作金融，稳步扩大农民合作社内部信用合作试点。建立新型农业经营主体生产经营直报系统，点对点对接信贷、保险和补贴等服务，探索建立新型农业经营主体信用评价体系，对符合条件的灵活确定贷款期限，简化审批流程，对正常生产经营、信用等级高的可以实行贷款优先等措施。积极引导互联网金融、产业资本依法依规开展农村金融服务。</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一）扩大保险支持范围。鼓励地方建立政府相关部门与农业保险机构数据共享机制。在粮食主产省开展适度规模经营农户大灾保险试点，调整部分财政救灾资金予以支持，提高保险覆盖面和理赔标准。落实农业保险保额覆盖直接物化成本，创新“基本险+附加险”产品，实现主要粮食作物保障水平涵盖地租成本和劳动力成本。推广农房、农机具、设施农业、渔业、制种保险等业务。积极开展天气指数保险、农产品价格和收入保险、“保险+期货”、农田水利设施保险、贷款保证保险等试点。研究出台对地方特色优势农产品保险的中央财政以奖代补政策。逐步建立专业化农业保险机构队伍，提高保险机构为农服务水平，简化业务流程，搞好理赔服务。支持保险机构对龙头企业到海外投资农业提供投融资保险服务。扩大保险资金支农融资试点。稳步开展农民互助合作保险试点，鼓励有条件的地方积极探索符合实际的互助合作保险模式。完善农业再保险体系和大灾风险分散机制，为农业保险提供持续稳定的再保险保障。</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十二）鼓励拓展营销市场。支持新型农业经营主体参与产销对接活动和在城市社区设立直销店（点）。落实鲜活农产品运输绿色通道、免征蔬菜流通环节增值税和支持批发市场建设等政策。鼓励有条件的地方对新型农业经营主体申请并获得专利、“三品一标”认证、品牌创建等给予适当奖励。加快实施“互联网+”现代农业行动，支持新型农业经营主体带动农户应用农业物联网和电子商务。采取降低入场费用和促销费用等措施，支持新型农业经营主体入驻电子商务平台。实施信息进村入户入社工程，建立农业信息监测分析预警体系，为新型农业经营主体提供市场信息服务。组织开展农民手机应用技能培训，提高新型农业经营主体和农民发展生产的能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三）支持人才培养引进。依托新型职业农民培育工程，整合各渠道培训资金资源，实施现代青年农场主培养计划、农村实用人才带头人培训计划以及新型农业经营主体带头人轮训计划，力争到“十三五”时期末轮训一遍，培养更多爱农业、懂技术、善经营的新型职业农民。办好农业职业教育，鼓励新型农业经营主体带头人通过“半农半读”、线上线下等多种形式就地就近接受职业教育，积极参加职业技能培训和技能鉴定。鼓励有条件的地方通过奖补等方式，引进各类职业经理人，提高农业经营管理水平。将新型农业经营主体列入高校毕业生“三支一扶”计划、大学生村官计划服务岗位的拓展范围。鼓励农民工、大中专毕业生、退伍军人、科技人员等返乡下乡创办领办新型农业经营主体。深入推行科技特派员制度，鼓励科研人员到农民合作社、龙头企业任职</w:t>
      </w:r>
      <w:r w:rsidRPr="009019B6">
        <w:rPr>
          <w:rFonts w:ascii="微软雅黑" w:eastAsia="微软雅黑" w:hAnsi="微软雅黑" w:cs="宋体" w:hint="eastAsia"/>
          <w:color w:val="000000"/>
          <w:kern w:val="0"/>
          <w:sz w:val="27"/>
          <w:szCs w:val="27"/>
        </w:rPr>
        <w:lastRenderedPageBreak/>
        <w:t>兼职，完善知识产权入股、参与分红等激励机制。建立产业专家帮扶和农技人员对口联系制度，发挥好县乡农民合作社辅导员的指导作用。</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四、健全政策落实机制</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四）加强组织领导。地方各级党委和政府要高度重视培育和发展新型农业经营主体，抓紧制定符合当地实际的具体措施和实施意见，加强对扶持政策落实的督促指导。各有关部门要加强协作配合，形成工作合力，结合各自职责抓好贯彻落实。要加强农村经营管理体系建设，鼓励各地采取安排专兼职人员、招收大学生村官等多种途径，充实基层经营管理工作力量，保障必要工作条件，确保支持新型农业经营主体发展的各项工作抓细抓实。</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五）搞好服务指导。加强调查研究，及时掌握新型农业经营主体发展的新情况新问题，宣传政策，搞好服务，促进其健康发展。完善家庭农场认定办法，落实农民合作社年度报告公示制度，开展重点龙头企业运行监测。鼓励有条件的地方建立新型农业经营主体名录并向社会公布，探索建立新型农业经营主体会计代理和财务审计制度，引导新型农业经营主体规范运行。</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六）狠抓考核督查。将落实培育新型农业经营主体政策情况纳入工作绩效考核，并建立科学的政策绩效评估监督机制。畅通社会监督渠道，适时开展督查，对政策落实到位的地方和部门予以表扬，对工作不力的予以督促整改。进一步建立和完善新型农业经营主体统计调查、监测分析和定期发布制度。</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（十七）强化法制保障。加快推进农村金融立法工作，确保农村改革与立法衔接。切实维护新型农业经营主体的合法权益，引导其诚信守法生产经营，为新型农业经营主体健康发展提供法制保障。</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5" w:name="_Toc12864276"/>
      <w:r w:rsidRPr="009019B6">
        <w:rPr>
          <w:rFonts w:hint="eastAsia"/>
          <w:sz w:val="30"/>
          <w:szCs w:val="30"/>
        </w:rPr>
        <w:lastRenderedPageBreak/>
        <w:t>关于做好</w:t>
      </w:r>
      <w:r w:rsidRPr="009019B6">
        <w:rPr>
          <w:rFonts w:hint="eastAsia"/>
          <w:sz w:val="30"/>
          <w:szCs w:val="30"/>
        </w:rPr>
        <w:t>2017</w:t>
      </w:r>
      <w:r w:rsidRPr="009019B6">
        <w:rPr>
          <w:rFonts w:hint="eastAsia"/>
          <w:sz w:val="30"/>
          <w:szCs w:val="30"/>
        </w:rPr>
        <w:t>年田园综合体试点工作的意见（财办农〔</w:t>
      </w:r>
      <w:r w:rsidRPr="009019B6">
        <w:rPr>
          <w:rFonts w:hint="eastAsia"/>
          <w:sz w:val="30"/>
          <w:szCs w:val="30"/>
        </w:rPr>
        <w:t>2017</w:t>
      </w:r>
      <w:r w:rsidRPr="009019B6">
        <w:rPr>
          <w:rFonts w:hint="eastAsia"/>
          <w:sz w:val="30"/>
          <w:szCs w:val="30"/>
        </w:rPr>
        <w:t>〕</w:t>
      </w:r>
      <w:r w:rsidRPr="009019B6">
        <w:rPr>
          <w:rFonts w:hint="eastAsia"/>
          <w:sz w:val="30"/>
          <w:szCs w:val="30"/>
        </w:rPr>
        <w:t>71</w:t>
      </w:r>
      <w:r w:rsidRPr="009019B6">
        <w:rPr>
          <w:rFonts w:hint="eastAsia"/>
          <w:sz w:val="30"/>
          <w:szCs w:val="30"/>
        </w:rPr>
        <w:t>号）</w:t>
      </w:r>
      <w:bookmarkEnd w:id="125"/>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有关省、自治区财政厅：</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为贯彻落实中央农村工作会议和2017年中央一号文件的部署与要求，财政部印发了《关于开展田园综合体建设试点工作的通知》（财办〔2017〕29号）。根据部内商定的分工方案，财政部农业司、国务院农村综合改革办公室牵头负责在内蒙古、江苏、浙江、江西、河南、湖南、广东、甘肃8个省份开展试点工作，为进一步推动试点工作，现就做好有关具体工作提出如下意见。</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w:t>
      </w:r>
      <w:r w:rsidRPr="009019B6">
        <w:rPr>
          <w:rFonts w:ascii="微软雅黑" w:eastAsia="微软雅黑" w:hAnsi="微软雅黑"/>
          <w:b/>
          <w:bCs/>
          <w:color w:val="000000"/>
        </w:rPr>
        <w:t>一、加强组织领导，做好协同推进工作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省份要建立健全财政部门牵头负责，农村综合改革处（办）具体组织、农业处配合的工作机制，协调发挥好各职能部门的作用。要细化工作任务，落实工作责任，确保试点工作开好头起好步。开展首批试点的县（市、区）政府要高度重视，加强对试点片区的领导和指导工作，确保高标准、高起点、有规模、有特色。县级财政部门要统筹使用好相关涉农财政支持政策。要争取未来两三年有大发展大变化， 让各方从中借鉴学习成功经验和做法，让人们从中感到农业是充满希望的现代产业、农民是令人羡慕的体面职业、农村是宜居宜业的美好家园。</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w:t>
      </w:r>
      <w:r w:rsidRPr="009019B6">
        <w:rPr>
          <w:rFonts w:ascii="微软雅黑" w:eastAsia="微软雅黑" w:hAnsi="微软雅黑"/>
          <w:b/>
          <w:bCs/>
          <w:color w:val="000000"/>
        </w:rPr>
        <w:t>二、明确试点条件，做好综合体选点工作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lastRenderedPageBreak/>
        <w:t xml:space="preserve">　　各试点地方要支持有基础、有优势、有特色、有规模、有潜力的乡镇(村)、特色片区，全域统筹开发，按照“政府引导、市场主体”的原则，选择农民合作组织健全、农业龙头企业和新型农业经营主体带动力强、农村特色优势产业基础较好、生产组织化程度较高、区位和生态等资源环境条件优越、核心区集中连片、开发主体已自筹资金投入较大且自身有持续投入能力、发展潜力较大的片区，开展乡村田园综合体试点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w:t>
      </w:r>
      <w:r w:rsidRPr="009019B6">
        <w:rPr>
          <w:rFonts w:ascii="微软雅黑" w:eastAsia="微软雅黑" w:hAnsi="微软雅黑"/>
          <w:b/>
          <w:bCs/>
          <w:color w:val="000000"/>
        </w:rPr>
        <w:t>三、突出目标要求，做好建设内容选择工作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地方要按照现代乡村田园综合体要求，认真选择好试点项目建设内容。积极发展循环农业，充分利用农业生态环保生产新技术，提高农业资源利用效率和农业生产经济效益，促进生态环境友好型农业可持续发展。大力发展智慧农业，充分应用现代信息技术与农业生产集成融合的新成果，加快推动传统农业向现代农业生产方式转变。稳步发展创意农业，开展农事体验活动，创新农业生产过程、场景和农产品的展示形式，融合农业文明、园艺展示和人文价值、生活趣味等文化要素，结合旅游休闲、展览演示等活动方式，引导社会大众参与农事体验活动，展现推介农村农业新功能。</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要适应农业供给侧结构性改革需要，做大做强传统特色优势主导产业，推动土地规模化利用和一二三产业融合发展，强化品牌和原产地地理标志管理，促进当地农产品提质增效。积极推进农村电商、物流服务业发展，拓宽农民增收致富的新通道。依托宜居宜业美丽乡村建设成果，</w:t>
      </w:r>
      <w:r w:rsidRPr="009019B6">
        <w:rPr>
          <w:rFonts w:ascii="微软雅黑" w:eastAsia="微软雅黑" w:hAnsi="微软雅黑"/>
          <w:color w:val="000000"/>
          <w:sz w:val="27"/>
          <w:szCs w:val="27"/>
        </w:rPr>
        <w:lastRenderedPageBreak/>
        <w:t>发挥乡村优质生态环境、美丽田园风光和优秀传统文化等独特资源优势，开发与保护并重，推进农、林、牧业与休闲观光、康养农业等产业深度融合，推动农村（牧区）绿色发展，打造一批环境美、产业兴、品牌响、农民富、生态优，具有浓郁“田园牧歌”风情的乡村田园综合体。</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w:t>
      </w:r>
      <w:r w:rsidRPr="009019B6">
        <w:rPr>
          <w:rFonts w:ascii="微软雅黑" w:eastAsia="微软雅黑" w:hAnsi="微软雅黑"/>
          <w:b/>
          <w:bCs/>
          <w:color w:val="000000"/>
        </w:rPr>
        <w:t>四、创新投入方式，做好支持政策统筹工作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地方要创新财政投入方式，积极探索推广政府和社会资本合作，综合考虑运用先建后补、贴息、以奖代补、担保补贴、风险补偿金等，撬动金融和社会资本投向田园综合体建设。鼓励各类金融机构加大金融支持田园综合体建设力度，积极统筹各渠道支农资金支持田园综合体建设。严控政府债务风险和村级组织债务风险，不新增债务负担。</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2017年农村综合改革转移支付资金已下达到各试点省份，农业生产发展资金也将于6月份下达。各试点省份财政部门农村综合改革处（办）、农业处要积极配合，统筹安排农村综合改革转移支付资金、农业生产发展资金共同支持田园综合体试点项目。</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b/>
          <w:bCs/>
          <w:color w:val="000000"/>
        </w:rPr>
        <w:t xml:space="preserve">　　五、认真编制方案，做好组织实施工作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地方要统筹运用田园综合体、美丽乡村、村级集体经济、现代农业产业园区和特色农业等方面已有的建设成果，明确农民合作组织、农业龙头企业在试点中的定位，结合区位条件、产业基础、居民人口、发展潜力等基本条件，科学规划，合理布局，实事求是地编制好试点方案。各试点地方在选点过程中要加强调研论证，尊重农民意愿和考虑现</w:t>
      </w:r>
      <w:r w:rsidRPr="009019B6">
        <w:rPr>
          <w:rFonts w:ascii="微软雅黑" w:eastAsia="微软雅黑" w:hAnsi="微软雅黑"/>
          <w:color w:val="000000"/>
          <w:sz w:val="27"/>
          <w:szCs w:val="27"/>
        </w:rPr>
        <w:lastRenderedPageBreak/>
        <w:t>有发展条件，不得加重农民负担。要健全收益分配机制和监督管理机制，保证农民适度参与和受益，促进农民就业和增收。</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地方财政、农村综合改革部门要深入基层，跟踪调研督导，及时掌握新情况，解决实际问题，认真做好组织实施工作。财政部农业司、国务院农村综合改革办公室将组织中央有关单位、部门和专家学者，深入试点地方开展研究指导，及时总结经验，完善试点政策。适时组织考评，实施动态调整，对试点成效显著的，中央财政继续给予奖补；对试点工作开展不力、试点成效不明显的，将取消试点资格并通报。</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b/>
          <w:bCs/>
          <w:color w:val="000000"/>
        </w:rPr>
        <w:t xml:space="preserve">　　六、开展立项评审，做好方案报评工作</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各试点省份财政部门农村综合改革处（办）、农业处要按照《财政部关于开展田园综合体建设试点工作的通知》（财办〔2017〕29号）和本意见要求，共同组织项目立项评审，并可适当邀请有关职能部门专家参与评审工作。请于2017年6月30日前，向财政部农业司、国务院农村综合改革办公室报送实施方案等试点材料（附电子文档）。财政部农业司、国务院农村综合改革办公室将对实施方案进行审核评议，并及时将审评意见反馈各省份。各省份结合审评意见修改完善实施方案后，于8个工作日内报财政部农业司、国务院农村综合改革办公室备案。</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xml:space="preserve">　　试点过程中如有疑问或遇到新情况新问题，请及时与财政部农业司、国务院农村综合改革办公室联系。</w:t>
      </w:r>
    </w:p>
    <w:p w:rsidR="009019B6" w:rsidRPr="009019B6" w:rsidRDefault="009019B6" w:rsidP="009019B6">
      <w:pPr>
        <w:pStyle w:val="trseditor"/>
        <w:spacing w:line="405" w:lineRule="atLeast"/>
        <w:rPr>
          <w:rFonts w:ascii="微软雅黑" w:eastAsia="微软雅黑" w:hAnsi="微软雅黑"/>
          <w:color w:val="000000"/>
          <w:sz w:val="27"/>
          <w:szCs w:val="27"/>
        </w:rPr>
      </w:pPr>
      <w:r w:rsidRPr="009019B6">
        <w:rPr>
          <w:rFonts w:ascii="微软雅黑" w:eastAsia="微软雅黑" w:hAnsi="微软雅黑"/>
          <w:color w:val="000000"/>
          <w:sz w:val="27"/>
          <w:szCs w:val="27"/>
        </w:rPr>
        <w:t> </w:t>
      </w:r>
    </w:p>
    <w:p w:rsidR="009019B6" w:rsidRPr="009019B6" w:rsidRDefault="009019B6" w:rsidP="009019B6">
      <w:pPr>
        <w:pStyle w:val="trseditor"/>
        <w:spacing w:line="405" w:lineRule="atLeast"/>
        <w:jc w:val="right"/>
        <w:rPr>
          <w:rFonts w:ascii="微软雅黑" w:eastAsia="微软雅黑" w:hAnsi="微软雅黑"/>
          <w:color w:val="000000"/>
          <w:sz w:val="27"/>
          <w:szCs w:val="27"/>
        </w:rPr>
      </w:pPr>
      <w:r w:rsidRPr="009019B6">
        <w:rPr>
          <w:rFonts w:ascii="微软雅黑" w:eastAsia="微软雅黑" w:hAnsi="微软雅黑"/>
          <w:color w:val="000000"/>
          <w:sz w:val="27"/>
          <w:szCs w:val="27"/>
        </w:rPr>
        <w:lastRenderedPageBreak/>
        <w:t>                                            　　财政部办公厅</w:t>
      </w:r>
    </w:p>
    <w:p w:rsidR="009019B6" w:rsidRPr="009019B6" w:rsidRDefault="009019B6" w:rsidP="009019B6">
      <w:pPr>
        <w:pStyle w:val="trseditor"/>
        <w:spacing w:line="405" w:lineRule="atLeast"/>
        <w:jc w:val="right"/>
        <w:rPr>
          <w:rFonts w:ascii="微软雅黑" w:eastAsia="微软雅黑" w:hAnsi="微软雅黑"/>
          <w:color w:val="000000"/>
          <w:sz w:val="27"/>
          <w:szCs w:val="27"/>
        </w:rPr>
      </w:pPr>
      <w:r w:rsidRPr="009019B6">
        <w:rPr>
          <w:rFonts w:ascii="微软雅黑" w:eastAsia="微软雅黑" w:hAnsi="微软雅黑"/>
          <w:color w:val="000000"/>
          <w:sz w:val="27"/>
          <w:szCs w:val="27"/>
        </w:rPr>
        <w:t>                                           　　2017年6月1日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6" w:name="_Toc12864277"/>
      <w:r w:rsidRPr="009019B6">
        <w:rPr>
          <w:rFonts w:hint="eastAsia"/>
          <w:sz w:val="30"/>
          <w:szCs w:val="30"/>
        </w:rPr>
        <w:lastRenderedPageBreak/>
        <w:t>财政部</w:t>
      </w:r>
      <w:r w:rsidRPr="009019B6">
        <w:rPr>
          <w:rFonts w:hint="eastAsia"/>
          <w:sz w:val="30"/>
          <w:szCs w:val="30"/>
        </w:rPr>
        <w:t xml:space="preserve"> </w:t>
      </w:r>
      <w:r w:rsidRPr="009019B6">
        <w:rPr>
          <w:rFonts w:hint="eastAsia"/>
          <w:sz w:val="30"/>
          <w:szCs w:val="30"/>
        </w:rPr>
        <w:t>农业部关于深入推进农业领域政府和社会资本合作的实施意见（财金〔</w:t>
      </w:r>
      <w:r w:rsidRPr="009019B6">
        <w:rPr>
          <w:rFonts w:hint="eastAsia"/>
          <w:sz w:val="30"/>
          <w:szCs w:val="30"/>
        </w:rPr>
        <w:t>2017</w:t>
      </w:r>
      <w:r w:rsidRPr="009019B6">
        <w:rPr>
          <w:rFonts w:hint="eastAsia"/>
          <w:sz w:val="30"/>
          <w:szCs w:val="30"/>
        </w:rPr>
        <w:t>〕</w:t>
      </w:r>
      <w:r w:rsidRPr="009019B6">
        <w:rPr>
          <w:rFonts w:hint="eastAsia"/>
          <w:sz w:val="30"/>
          <w:szCs w:val="30"/>
        </w:rPr>
        <w:t>50</w:t>
      </w:r>
      <w:r w:rsidRPr="009019B6">
        <w:rPr>
          <w:rFonts w:hint="eastAsia"/>
          <w:sz w:val="30"/>
          <w:szCs w:val="30"/>
        </w:rPr>
        <w:t>号）</w:t>
      </w:r>
      <w:bookmarkEnd w:id="126"/>
    </w:p>
    <w:p w:rsidR="009019B6" w:rsidRPr="009019B6" w:rsidRDefault="009019B6" w:rsidP="009019B6">
      <w:pPr>
        <w:widowControl/>
        <w:shd w:val="clear" w:color="auto" w:fill="FFFFFF"/>
        <w:spacing w:before="225"/>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各省、自治区、直辖市、计划单列市财政厅（局）、农业（农牧、农机、畜牧、兽医、农垦、渔业）厅（局、委、办），新疆生产建设兵团财务局、农业局：</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为贯彻落实《中共中央国务院关于深入推进农业供给侧结构性改革加快培育农业农村发展新动能的若干意见》、《国务院办公厅关于创新农村基础设施投融资体制机制的指导意见》（国办发〔2017〕17号）、《国务院办公厅转发财政部发展改革委人民银行关于在公共服务领域推广政府和社会资本合作模式指导意见的通知》（国办发〔2015〕42号）精神，深化农业供给侧结构性改革，引导社会资本积极参与农业领域政府和社会资本合作（PPP）项目投资、建设、运营，改善农业农村公共服务供给，现提出意见如下：</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一、总体要求</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（一）指导思想</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全面贯彻落实党中央、国务院关于农业、农村、农民问题的决策部署，牢固树立和贯彻落实新发展理念，适应把握引领经济发展新常态，以加大农业领域PPP模式推广应用为主线，优化农业资金投入方式，加快农业产业结构调整，改善农业公共服务供给，切实推动农业供给侧结构性改革。</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（二）基本原则</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政府引导，规范运作。坚持农业供给侧结构性改革方向，深化对PPP模式的理解认识，加快观念转变，厘清政府与市场的边界，加大对农业农村公共服务领域推广运用PPP模式的政策扶持力度，强化绩效评价和项目监管，严格执行财政PPP工作制度规范体系，确保顺利实施、规范运作，防止变相举借政府债务，防范财政金融风险。</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明确权责，合作共赢。注重发挥市场在资源配置中的决定性作用，鼓励各类市场主体通过公开竞争性方式参与农业PPP项目合作，破除社会资本进入农业公共服务领域的隐性壁垒，营造规范有序的市场环境。在平等协商基础上订立合同，平衡政府、社会资本、农民、农村集体经济组织、农民合作组织等各方利益，明确各参与主体的责任、权利关系和风险分担机制,推动实现改善公共服务供给，拓展企业发展空间，增加人民福祉的共赢局面。</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因地制宜，试点先行。各地根据国家“三农”工作统一部署，结合地区实际和工作重点，分阶段、分类型、分步骤推进农业领域PPP工作。鼓励选择重点领域、重点项目先行试点探索，及时总结经验，完善相关政策，形成可复制、可推广的合作模式。</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（三）工作目标</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探索农业领域推广PPP模式的实施路径、成熟模式和长效机制，创新农业公共产品和公共服务市场化供给机制，推动政府职能转变，提高</w:t>
      </w:r>
      <w:r w:rsidRPr="009019B6">
        <w:rPr>
          <w:rFonts w:ascii="微软雅黑" w:eastAsia="微软雅黑" w:hAnsi="微软雅黑" w:cs="宋体" w:hint="eastAsia"/>
          <w:color w:val="000000"/>
          <w:kern w:val="0"/>
          <w:sz w:val="27"/>
          <w:szCs w:val="27"/>
        </w:rPr>
        <w:lastRenderedPageBreak/>
        <w:t>农业投资有效性和公共资源使用效益，提升农业公共服务供给质量和效率。</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二、聚焦重点领域</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重点引导和鼓励社会资本参与以下领域农业公共产品和服务供给：</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（一）农业绿色发展。支持畜禽粪污资源化利用、农作物秸秆综合利用、废旧农膜回收、病死畜禽无害化处理，支持规模化大型沼气工程。</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高标准农田建设。支持集中连片、旱涝保收、稳产高产、生态友好的高标准农田建设，支持开展土地平整、土壤改良与培肥、灌溉与排水、田间道路、农田防护与生态环境保持、农田输配电等工程建设,支持耕地治理修复。</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（三）现代农业产业园。支持以规模化种养基地为基础，通过“生产+加工+科技”，聚集现代生产要素、创新体制机制的现代农业产业园。</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（四）田园综合体。支持有条件的乡村建设以农民合作社为主要载体、让农民充分参与和受益，集循环农业、创意农业、农事体验于一体的田园综合体。</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（五）农产品物流与交易平台。支持农产品交易中心（市场）、生产资料交易平台、仓储基地建设，支持区域农产品公用品牌创建。</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（六）“互联网+”现代农业。支持信息进村入户工程、智慧农业工程、农村电子商务平台、智能物流设施等建设运营。</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三、规范项目实施</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严格筛选项目。各级财政部门、农业部门要加强合作，依托全国PPP综合信息平台推进农业PPP项目库建设，明确入库标准，优先选择有经营性现金流、适宜市场化运作的农业公共设施及公共服务项目，做好项目储备，明确年度及中长期项目开发计划，确保农业PPP有序推进。</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合理分担风险。各地农业部门、财政部门要指导项目实施机构按照风险分担、利益共享的原则，充分识别、合理分配PPP项目风险。为保障政府知情权，政府可以参股项目公司，但应保障项目公司的经营独立性和风险隔离功能，不得干预企业日常经营决策，不得兜底项目建设运营风险。</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保障合理回报。各地农业部门、财政部门要指导项目实施机构根据项目特点构建合理的项目回报机制，依据项目合同约定将财政支出责任纳入年度预算和中期财政规划，按项目绩效考核结果向社会资本支付对价，保障社会资本获得稳定合理收益。鼓励农民专业合作社等新型农业经营主体参与PPP项目，并通过订单带动、利润返还、股份合作等模式进一步完善与农户的利益联结机制，建立长期稳定的合作关系，让更多农民分享农业PPP发展红利。</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四）确保公平竞争。各地农业部门、财政部门要指导项目实施机构依法通过公开、公平、竞争性方式，择优选择具备项目所需经营能力和履约能力的社会资本开展合作，保障各类市场主体平等参与农业PPP项目合作，消除本地保护主义和各类隐形门槛。鼓励金融机构早期介入项目前期准备，提高项目融资可获得性。</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严格债务管理。各地财政部门、农业部门要认真组织开展项目物有所值评价和财政承受能力论证，加强本辖区内PPP项目财政支出责任统计和超限预警，严格政府债务管理，严禁通过政府回购安排、承诺固定回报等方式进行变相举债，严禁项目公司债务向政府转移。</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强化信息公开。各地财政部门、农业部门要认真落实《政府和社会资本合作（PPP）综合信息平台信息公开管理暂行办法》（财金﹝2017﹞1号）有关要求，做好PPP项目全生命周期信息公开工作，及时、完整、准确地录入农业PPP项目信息，及时披露识别论证、政府采购及预算安排等关键信息，增强社会资本和金融机构信心，保障公众知情权，接受社会监督。</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（七）严格绩效监管。各地财政部门、农业部门要构建农业PPP项目的绩效考核监管体系和监督问责机制，跟踪掌握项目实施和资金使用情况，推动形成项目监管与资金安排相衔接的激励制约机制。</w:t>
      </w:r>
    </w:p>
    <w:p w:rsidR="009019B6" w:rsidRPr="009019B6" w:rsidRDefault="009019B6" w:rsidP="009019B6">
      <w:pPr>
        <w:widowControl/>
        <w:shd w:val="clear" w:color="auto" w:fill="FFFFFF"/>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四、加大政策保障</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（一）强化组织领导责任。地方人民政府要积极探索建立跨部门PPP工作领导协调机制，加强政府统一领导，明确部门职责分工，确保形成工作合力，推动项目顺利实施。</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优化资金投入方式。各级财政部门、农业部门要探索创新农业公共服务领域资金投入机制，进一步改进和加强资金使用管理，发挥财政资金引导撬动作用，积极推动金融和社会资本更多投向农业农村，提高投资有效性和公共资金使用效益。</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发挥示范引领作用。财政部与农业部联合组织开展国家农业PPP示范区创建工作。各省（区、市）财政部门会同农业部门择优选择1个农业产业特点突出、PPP模式推广条件成熟的县级地区作为农业PPP示范区向财政部、农业部推荐。财政部、农业部将从中择优确定“国家农业PPP示范区”。国家农业PPP示范区所属PPP项目，将在PPP示范项目申报筛选和PPP以奖代补资金中获得优先支持。各地财政部门、农业部门要共同做好农业PPP示范区的申报工作，加强对示范区的经验总结和案例推广，推动形成一批可复制、可推广的成功模式。</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拓宽金融支持渠道。充分发挥中国PPP基金和各地PPP基金的引导作用，带动更多金融机构、保险资金加大对农业PPP项目的融资支持。加强与国家农业信贷担保体系的合作，鼓励各地设立农业PPP项目担保基金，为PPP项目融资提供增信支持。创新开发适合农业PPP项目的保险产品。开展农业PPP项目资产证券化试点，探索各类投资主体的合规退出渠道。</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五）完善定价调价机制。积极推进农业农村公共服务领域价格改革，探索建立污水垃圾处理农户缴费制度，综合考虑建设运营成本、财政承受能力、农村居民意愿，合理确定农业公共服务价格水平和补偿机制。建立健全价格动态调整和上下游联动机制，增强社会资本收益预期，提高社会资本参与积极性。</w:t>
      </w:r>
    </w:p>
    <w:p w:rsidR="009019B6" w:rsidRPr="009019B6" w:rsidRDefault="009019B6" w:rsidP="009019B6">
      <w:pPr>
        <w:widowControl/>
        <w:shd w:val="clear" w:color="auto" w:fill="FFFFFF"/>
        <w:spacing w:before="225"/>
        <w:ind w:firstLine="480"/>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加强项目用地保障。各地农业部门、财政部门要积极协调相关土地部门，在保障耕地占补平衡的基础上，在当地土地使用中长期规划中全面考虑农业PPP项目建设需求，并给予优先倾斜，为项目用地提供有效保障。</w:t>
      </w:r>
    </w:p>
    <w:p w:rsidR="009019B6" w:rsidRPr="009019B6" w:rsidRDefault="009019B6" w:rsidP="009019B6">
      <w:pPr>
        <w:widowControl/>
        <w:shd w:val="clear" w:color="auto" w:fill="FFFFFF"/>
        <w:ind w:firstLine="480"/>
        <w:jc w:val="righ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财政部农业部</w:t>
      </w:r>
      <w:r w:rsidRPr="009019B6">
        <w:rPr>
          <w:rFonts w:ascii="微软雅黑" w:eastAsia="微软雅黑" w:hAnsi="微软雅黑" w:cs="宋体" w:hint="eastAsia"/>
          <w:color w:val="000000"/>
          <w:kern w:val="0"/>
          <w:sz w:val="27"/>
          <w:szCs w:val="27"/>
        </w:rPr>
        <w:br/>
        <w:t>2017年5月31日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7" w:name="_Toc12864278"/>
      <w:r w:rsidRPr="009019B6">
        <w:rPr>
          <w:rFonts w:hint="eastAsia"/>
          <w:sz w:val="30"/>
          <w:szCs w:val="30"/>
        </w:rPr>
        <w:lastRenderedPageBreak/>
        <w:t>国务院办公厅关于创新农村基础设施投融资体制机制的指导意见（国办发〔</w:t>
      </w:r>
      <w:r w:rsidRPr="009019B6">
        <w:rPr>
          <w:rFonts w:hint="eastAsia"/>
          <w:sz w:val="30"/>
          <w:szCs w:val="30"/>
        </w:rPr>
        <w:t>2017</w:t>
      </w:r>
      <w:r w:rsidRPr="009019B6">
        <w:rPr>
          <w:rFonts w:hint="eastAsia"/>
          <w:sz w:val="30"/>
          <w:szCs w:val="30"/>
        </w:rPr>
        <w:t>〕</w:t>
      </w:r>
      <w:r w:rsidRPr="009019B6">
        <w:rPr>
          <w:rFonts w:hint="eastAsia"/>
          <w:sz w:val="30"/>
          <w:szCs w:val="30"/>
        </w:rPr>
        <w:t>17</w:t>
      </w:r>
      <w:r w:rsidRPr="009019B6">
        <w:rPr>
          <w:rFonts w:hint="eastAsia"/>
          <w:sz w:val="30"/>
          <w:szCs w:val="30"/>
        </w:rPr>
        <w:t>号）</w:t>
      </w:r>
      <w:bookmarkEnd w:id="127"/>
    </w:p>
    <w:p w:rsidR="009019B6" w:rsidRPr="009019B6" w:rsidRDefault="009019B6" w:rsidP="009019B6">
      <w:pPr>
        <w:widowControl/>
        <w:shd w:val="clear" w:color="auto" w:fill="FFFFFF"/>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各省、自治区、直辖市人民政府，国务院各部委、各直属机构：</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农村基础设施是社会主义新农村建设的重要内容，是农村经济社会发展的重要支撑。近年来，我国农村道路、供水、污水垃圾处理、供电、电信等基础设施建设步伐不断加快，生产生活条件逐步改善，但由于历史欠账较多、资金投入不足、融资渠道不畅等原因，农村基础设施总体上仍比较薄弱，与全面建成小康社会的要求还有较大差距。为创新农村基础设施投融资体制机制，加快农村基础设施建设步伐，经国务院同意，现提出以下意见。</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一、总体要求</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一）指导思想。全面贯彻党的十八大和十八届三中、四中、五中、六中全会精神，深入贯彻习近平总书记系列重要讲话精神和治国理政新理念新思想新战略，认真落实党中央、国务院决策部署，统筹推进“五位一体”总体布局和协调推进“四个全面”战略布局，牢固树立和贯彻落实创新、协调、绿色、开放、共享的发展理念，以加快补齐农村基础设施短板、推进城乡发展一体化为目标，以创新投融资体制机制为突破口，明确各级政府事权和投入责任，拓宽投融资渠道，优化投融资模式，加大建设投入，完善管护机制，全面提高农村基础设施建设和管理水平。</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（二）基本原则。</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政府主导、社会参与。明确农村基础设施的公共产品定位，强化政府投入和主导责任，加强城乡基础设施统筹规划，加大政策支持力度。</w:t>
      </w:r>
      <w:r w:rsidRPr="009019B6">
        <w:rPr>
          <w:rFonts w:ascii="微软雅黑" w:eastAsia="微软雅黑" w:hAnsi="微软雅黑" w:cs="宋体" w:hint="eastAsia"/>
          <w:color w:val="000000"/>
          <w:kern w:val="0"/>
          <w:sz w:val="27"/>
          <w:szCs w:val="27"/>
        </w:rPr>
        <w:lastRenderedPageBreak/>
        <w:t>破除体制机制障碍，引导和鼓励社会资本投向农村基础设施领域，提高建设和管护市场化、专业化程度。</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农民受益、民主决策。发挥农民作为农村基础设施直接受益主体的作用，引导农民和农村集体经济组织积极参与项目建设和管理，推动决策民主化，保障农民知情权、参与权和监督权。</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因地制宜、分类施策。充分发挥地方政府和投资主体的积极性，探索适合不同地区、不同基础设施特点的投融资机制。兼顾公平与效率，实施差别化投融资政策，加大对贫困地区的支持力度。</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建管并重、统筹推进。坚持先建机制、后建工程，合理确定农村基础设施投融资模式和运行方式。推进投融资体制机制创新与建设管护机制创新、农村集体产权制度改革等有机结合，实现可持续发展。</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主要目标。到2020年，主体多元、充满活力的投融资体制基本形成，市场运作、专业高效的建管机制逐步建立，城乡基础设施建设管理一体化水平明显提高，农村基础设施条件明显改善，美丽宜居乡村建设取得明显进展，广大农民共享改革发展成果的获得感进一步增强。</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二、构建多元化投融资新格局，健全投入长效机制</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健全分级分类投入体制。明确各级政府事权和投入责任，构建事权清晰、权责一致、中央支持、省级统筹、县级负责的农村基础设施投入体系。对农村道路等没有收益的基础设施，建设投入以政府为主，鼓励社会资本和农民参与。对农村供水、污水垃圾处理等有一定收益的基础设施，建设投入以政府和社会资本为主，积极引导农民投入。对农</w:t>
      </w:r>
      <w:r w:rsidRPr="009019B6">
        <w:rPr>
          <w:rFonts w:ascii="微软雅黑" w:eastAsia="微软雅黑" w:hAnsi="微软雅黑" w:cs="宋体" w:hint="eastAsia"/>
          <w:color w:val="000000"/>
          <w:kern w:val="0"/>
          <w:sz w:val="27"/>
          <w:szCs w:val="27"/>
        </w:rPr>
        <w:lastRenderedPageBreak/>
        <w:t>村供电、电信等以经营性为主的基础设施，建设投入以企业为主，政府对贫困地区和重点区域给予补助。（国家发展改革委、财政部牵头负责）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完善财政投入稳定增长机制。优先保障财政对农业农村的投入，相应支出列入各级财政预算，坚持把农业农村作为国家固定资产投资的重点领域，确保力度不减弱、总量有增加。统筹政府土地出让收益等各类资金，支持农村基础设施建设。支持地方政府以规划为依据，整合不同渠道下达但建设内容相近的资金，形成合力。（财政部、国家发展改革委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六）创新政府投资支持方式。发挥政府投资的引导和撬动作用，采取直接投资、投资补助、资本金注入、财政贴息、以奖代补、先建后补、无偿提供建筑材料等多种方式支持农村基础设施建设。鼓励地方政府和社会资本设立农村基础设施建设投资基金。建立规范的地方政府举债融资机制，推动地方融资平台转型改制和市场化融资，重点向农村基础设施建设倾斜。允许地方政府发行一般债券支持农村道路建设，发行专项债券支持农村供水、污水垃圾处理设施建设，探索发行县级农村基础设施建设项目集合债。支持符合条件的企业发行企业债券，用于农村供电、电信设施建设。鼓励地方政府通过财政拨款、特许或委托经营等渠道筹措资金，设立不向社会征收的政府性农村基础设施维修养护基金。鼓励有条件的地区将农村基础设施与产业、园区、乡村旅游等进行捆绑，实行一体化开发和建设，实现相互促进、互利共赢。（国家发展改革委、财政部、人民银行、银监会、证监会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七）建立政府和社会资本合作机制。支持各地通过政府和社会资本合作模式，引导社会资本投向农村基础设施领域。鼓励按照“公益性项目、市场化运作”理念，大力推进政府购买服务，创新农村基础设施建设和运营模式。支持地方政府将农村基础设施项目整体打包，提高收益能力，并建立运营补偿机制，保障社会资本获得合理投资回报。对农村基础设施项目在用电、用地等方面优先保障。（国家发展改革委、财政部、工业和信息化部、国土资源部、住房城乡建设部、水利部、农业部、国家林业局、国家能源局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八）充分调动农民参与积极性。尊重农民主体地位，加强宣传教育，发挥其在农村基础设施决策、投入、建设、管护等方面作用。完善村民一事一议制度，合理确定筹资筹劳限额，加大财政奖补力度。鼓励农民和农村集体经济组织自主筹资筹劳开展村内基础设施建设。推行农村基础设施建设项目公示制度，发挥村民理事会、新型农业经营主体等监督作用。（农业部、水利部、国家林业局、民政部、住房城乡建设部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九）加大金融支持力度。政策性银行和开发性金融机构要结合各自职能定位和业务范围，强化对农村基础设施建设的支持。鼓励商业银行加大农村基础设施信贷投放力度，改善农村金融服务。发挥农业银行面向三农、商业运作的优势，加大对农村基础设施的支持力度。支持银行业金融机构开展收费权、特许经营权等担保创新类贷款业务。完善涉农贷款财政奖励补助政策，支持收益较好、能够市场化运作的农村基础设施重点项目开展股权和债权融资。建立并规范发展融资担保、保险等</w:t>
      </w:r>
      <w:r w:rsidRPr="009019B6">
        <w:rPr>
          <w:rFonts w:ascii="微软雅黑" w:eastAsia="微软雅黑" w:hAnsi="微软雅黑" w:cs="宋体" w:hint="eastAsia"/>
          <w:color w:val="000000"/>
          <w:kern w:val="0"/>
          <w:sz w:val="27"/>
          <w:szCs w:val="27"/>
        </w:rPr>
        <w:lastRenderedPageBreak/>
        <w:t>多种形式的增信机制，提高各类投资建设主体的融资能力。加快推进农村信用体系建设。鼓励利用国际金融组织和外国政府贷款建设农村基础设施。（人民银行、银监会、证监会、保监会、国家发展改革委、财政部、农业发展银行、开发银行、农业银行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强化国有企业社会责任。切实发挥输配电企业、基础电信运营企业的主体作用，加大对农村电网改造升级、电信设施建设的投入力度。鼓励其他领域的国有企业拓展农村基础设施建设业务，支持中央企业和地方国有企业通过帮扶援建等方式参与农村基础设施建设。（国务院国资委、国家发展改革委、财政部、工业和信息化部、国家能源局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一）引导社会各界积极援建。鼓励企业、社会组织、个人通过捐资捐物、结对帮扶、包村包项目等形式，支持农村基础设施建设和运行管护。引导国内外机构、基金会、社会团体和各界人士依托公益捐助平台，为农村基础设施建设筹资筹物。落实企业和个人公益性捐赠所得税税前扣除政策。进一步推进东西部扶贫协作，支持贫困地区农村基础设施建设。（民政部、财政部、税务总局、国家发展改革委、国务院扶贫办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三、完善建设管护机制，保障工程长期发挥效益</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二）完善农村公路建设养护机制。将农村公路建设、养护、管理机构运行经费及人员基本支出纳入一般公共财政预算。推广“建养一体化”模式，通过政府购买服务等方式，引入专业企业、社会资本建设和养护农村公路。鼓励采取出让公路冠名权、广告权、相关资源开发权</w:t>
      </w:r>
      <w:r w:rsidRPr="009019B6">
        <w:rPr>
          <w:rFonts w:ascii="微软雅黑" w:eastAsia="微软雅黑" w:hAnsi="微软雅黑" w:cs="宋体" w:hint="eastAsia"/>
          <w:color w:val="000000"/>
          <w:kern w:val="0"/>
          <w:sz w:val="27"/>
          <w:szCs w:val="27"/>
        </w:rPr>
        <w:lastRenderedPageBreak/>
        <w:t>等方式，筹资建设和养护农村公路。结合物价上涨、里程增加、等级提升等因素，合理确定农村公路养护资金补助标准。（交通运输部、财政部、国家发展改革委等负责）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三）加快农村供水设施产权制度改革。以政府投入为主兴建、规模较大的农村集中供水基础设施，由县级人民政府或其授权部门根据国家有关规定确定产权归属；以政府投入为主兴建、规模较小的农村供水基础设施，资产交由农村集体经济组织或农民用水合作组织所有；单户或联户农村供水基础设施，国家补助资金所形成的资产归受益农户所有；社会资本投资兴建的农村供水基础设施，所形成的资产归投资者所有，或依据投资者意愿确定产权归属。由产权所有者建立管护制度，落实管护责任。鼓励开展农村供水设施产权交易，通过拍卖、租赁、承包、股份合作、委托经营等方式将一定期限内的管护权、收益权划归社会投资者。推进国有供水企业股份制改造，引入第三方参与运行管理。（水利部、住房城乡建设部、国家发展改革委、财政部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四）理顺农村污水垃圾处理管理体制。探索建立农村污水垃圾处理统一管理体制，切实解决多头管理问题。鼓励实施城乡生活污水“统一规划、统一建设、统一运行、统一管理”集中处理与农村污水“分户、联户、村组”分散处理相结合的模式，推动农村垃圾分类和资源化利用，完善农村垃圾“户分类、村组收集、乡镇转运、市县处理”集中处置与“户分类、村组收集、乡镇（或村）就地处理”分散处置相结合的模式，推广建立村庄保洁制度。推进建立统一的农村人居环境建设管理信息化</w:t>
      </w:r>
      <w:r w:rsidRPr="009019B6">
        <w:rPr>
          <w:rFonts w:ascii="微软雅黑" w:eastAsia="微软雅黑" w:hAnsi="微软雅黑" w:cs="宋体" w:hint="eastAsia"/>
          <w:color w:val="000000"/>
          <w:kern w:val="0"/>
          <w:sz w:val="27"/>
          <w:szCs w:val="27"/>
        </w:rPr>
        <w:lastRenderedPageBreak/>
        <w:t>平台，促进相关资源统筹利用。（住房城乡建设部、环境保护部牵头负责）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五）积极推进农村电力管理体制改革。加快建立规范的现代电力企业制度，鼓励有条件的地区开展县级电网企业股份制改革试点。逐步向符合条件的市场主体放开增量配电网投资业务，赋予投资主体新增配电网的所有权和经营权。鼓励以混合所有制方式发展配电业务，通过公私合营模式引入社会资本参与农村电网改造升级及运营。支持社会资本投资建设清洁能源项目和分布式电源并网工程。（国家能源局、国家发展改革委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六）鼓励农村电信设施建设向民间资本开放。创新农村电信基础设施建设项目融资模式，支持民间资本以资本入股、业务代理、网络代维等多种形式与基础电信企业开展合作，参与农村电信基础设施建设。加快推进东中部发达地区农村宽带接入市场向民间资本开放试点工作，逐步深化试点，鼓励和引导民间资本开展农村宽带接入网络建设和业务运营。（工业和信息化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七）改进项目管理和绩效评价方式。建立涵盖需求决策、投资管理、建设运营等全过程、多层次的农村基础设施建设项目综合评价体系。对具备条件的项目，通过公开招标、邀请招标、定向委托、竞争性谈判等多种方式选择专业化的第三方机构，参与项目前期论证、招投标、建设监理、效益评价等，建立绩效考核、监督激励和定期评价机制。（国家发展改革委、财政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四、健全定价机制，激发投资动力和活力</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十八）合理确定农村供水价格。在建立使用者付费制度、促进节约用水的基础上，完善农村供水水价形成机制。对城市周边已纳入城镇自来水供应范围的农户，实行统一的居民阶梯水价政策。对实行农村集中式供水的，按照补偿成本、合理盈利的原则确定水价，实行有偿服务、计量收费。地方政府和具备条件的农村集体经济组织可根据实际情况对运营单位进行合理补偿。通过加强水费征收和运行维护费用补偿等措施，保障工程正常运行及日常维护。（国家发展改革委、水利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十九）探索建立污水垃圾处理农户缴费制度。鼓励先行先试，在有条件的地区实行污水垃圾处理农户缴费制度，保障运营单位获得合理收益，综合考虑污染防治形势、经济社会承受能力、农村居民意愿等因素，合理确定缴费水平和标准，建立财政补贴与农户缴费合理分摊机制。完善农村污水垃圾处理费用调整机制，建立上下游价格调整联动机制，价格调整不到位时，地方政府和具备条件的村集体可根据实际情况对运营单位给予合理补偿。（住房城乡建设部、国家发展改革委、财政部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完善输配电价机制。按照“管住中间、放开两头”的原则，推进输配电价改革，严格成本审核和监管，完善分类定价、阶梯电价政策，落实好“两分钱”农网还贷资金政策，研究建立电力普遍服务补偿机制，支持农村地区发展。（国家发展改革委、国家能源局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（二十一）推进农村地区宽带网络提速降费。加快农村宽带网络建设，引导基础电信企业公平竞争。指导和推动基础电信企业简化资费结构，切实提高农村宽带上网等业务的性价比，为农村贫困户提供更加优</w:t>
      </w:r>
      <w:r w:rsidRPr="009019B6">
        <w:rPr>
          <w:rFonts w:ascii="微软雅黑" w:eastAsia="微软雅黑" w:hAnsi="微软雅黑" w:cs="宋体" w:hint="eastAsia"/>
          <w:color w:val="000000"/>
          <w:kern w:val="0"/>
          <w:sz w:val="27"/>
          <w:szCs w:val="27"/>
        </w:rPr>
        <w:lastRenderedPageBreak/>
        <w:t>惠的资费方案，为发展“互联网＋”提供有力支撑。（工业和信息化部牵头负责）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五、保障措施</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二）强化规划引导作用。按照城乡一体化发展的要求，衔接协调各类规划，推进县域乡村建设规划编制，统筹农村道路、供水、污水垃圾处理、供电、电信等基础设施建设布局。推动城镇基础设施向农村延伸，鼓励将城市周边农村、规模较大的中心镇纳入城镇基础设施建设规划，实行统一规划、统一建设、统一管护。（住房城乡建设部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三）完善相关法律法规。完善农村基础设施投融资相关法律法规，依法保护投资者合法权益，维护公平有序的市场投资环境。推动公路法、村庄和集镇规划建设管理条例等相关法律法规修订工作，为创新农村基础设施投融资体制机制创造条件。加快修订相关规定，适当放宽对农村小型基础设施投资项目管理“四制”要求。（交通运输部、住房城乡建设部、国家发展改革委、农业部、国务院法制办等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四）落实地方政府责任。地方各级人民政府要把农村基础设施建设管护摆上重要议事日程，统筹本辖区内国有林区、林场、垦区等基础设施建设，积极创新投融资体制机制。县级人民政府是农村基础设施建设管护的责任主体，要结合本地实际，制定实施意见，确保各项措施落到实处。（各省级人民政府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（二十五）加强部门协作。国务院各有关部门要根据本意见，按照职责分工，密切协作配合，抓紧制定相关配套措施。国家发展改革委要</w:t>
      </w:r>
      <w:r w:rsidRPr="009019B6">
        <w:rPr>
          <w:rFonts w:ascii="微软雅黑" w:eastAsia="微软雅黑" w:hAnsi="微软雅黑" w:cs="宋体" w:hint="eastAsia"/>
          <w:color w:val="000000"/>
          <w:kern w:val="0"/>
          <w:sz w:val="27"/>
          <w:szCs w:val="27"/>
        </w:rPr>
        <w:lastRenderedPageBreak/>
        <w:t>会同有关部门对意见落实情况进行跟踪分析和定期评估，并向国务院报告。（国家发展改革委牵头负责）</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9019B6">
        <w:rPr>
          <w:rFonts w:ascii="微软雅黑" w:eastAsia="微软雅黑" w:hAnsi="微软雅黑" w:cs="宋体" w:hint="eastAsia"/>
          <w:color w:val="000000"/>
          <w:kern w:val="0"/>
          <w:sz w:val="27"/>
          <w:szCs w:val="27"/>
        </w:rPr>
        <w:t>国务院办公厅</w:t>
      </w:r>
    </w:p>
    <w:p w:rsidR="009019B6" w:rsidRPr="009019B6" w:rsidRDefault="009019B6" w:rsidP="009019B6">
      <w:pPr>
        <w:widowControl/>
        <w:shd w:val="clear" w:color="auto" w:fill="FFFFFF"/>
        <w:ind w:firstLine="480"/>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9019B6">
        <w:rPr>
          <w:rFonts w:ascii="微软雅黑" w:eastAsia="微软雅黑" w:hAnsi="微软雅黑" w:cs="宋体" w:hint="eastAsia"/>
          <w:color w:val="000000"/>
          <w:kern w:val="0"/>
          <w:sz w:val="27"/>
          <w:szCs w:val="27"/>
        </w:rPr>
        <w:t>2017年2月6日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8" w:name="_Toc12864279"/>
      <w:r w:rsidRPr="009019B6">
        <w:rPr>
          <w:rFonts w:hint="eastAsia"/>
          <w:sz w:val="30"/>
          <w:szCs w:val="30"/>
        </w:rPr>
        <w:lastRenderedPageBreak/>
        <w:t>国家发展改革委</w:t>
      </w:r>
      <w:r w:rsidRPr="009019B6">
        <w:rPr>
          <w:rFonts w:hint="eastAsia"/>
          <w:sz w:val="30"/>
          <w:szCs w:val="30"/>
        </w:rPr>
        <w:t xml:space="preserve"> </w:t>
      </w:r>
      <w:r w:rsidRPr="009019B6">
        <w:rPr>
          <w:rFonts w:hint="eastAsia"/>
          <w:sz w:val="30"/>
          <w:szCs w:val="30"/>
        </w:rPr>
        <w:t>农业部关于推进农业领域政府和社会资本合作的指导意见（发改农经〔</w:t>
      </w:r>
      <w:r w:rsidRPr="009019B6">
        <w:rPr>
          <w:rFonts w:hint="eastAsia"/>
          <w:sz w:val="30"/>
          <w:szCs w:val="30"/>
        </w:rPr>
        <w:t>2016</w:t>
      </w:r>
      <w:r w:rsidRPr="009019B6">
        <w:rPr>
          <w:rFonts w:hint="eastAsia"/>
          <w:sz w:val="30"/>
          <w:szCs w:val="30"/>
        </w:rPr>
        <w:t>〕</w:t>
      </w:r>
      <w:r w:rsidRPr="009019B6">
        <w:rPr>
          <w:rFonts w:hint="eastAsia"/>
          <w:sz w:val="30"/>
          <w:szCs w:val="30"/>
        </w:rPr>
        <w:t>2574</w:t>
      </w:r>
      <w:r w:rsidRPr="009019B6">
        <w:rPr>
          <w:rFonts w:hint="eastAsia"/>
          <w:sz w:val="30"/>
          <w:szCs w:val="30"/>
        </w:rPr>
        <w:t>号）</w:t>
      </w:r>
      <w:bookmarkEnd w:id="128"/>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各省（区、市）发展改革委、农业（农牧、农机、畜牧、兽医、农垦、渔业）厅（局、委、办）、新疆生产建设兵团发展改革委、农业局：</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农业承担着保障国家粮食安全和重要农产品供给，促进农民增收的重要任务。深化农业投融资体制改革，加强农业领域政府与社会资本合作，对于多渠道增加农业投入，推动农业供给侧结构性改革，促进农业持续健康发展具有重要意义。根据《中共中央 国务院关于深化投融资体制改革的意见》（中发〔2016〕18号）、《国务院关于创新重点领域投融资机制鼓励社会投资的指导意见》（国发〔2014〕60号）等文件要求，现就推进农业领域政府和社会资本合作提出如下意见：</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一、总体要求</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指导思想。深入贯彻党的十八大和十八届三中、四中、五中全会精神，按照党中央、国务院决策部署，以创新、协调、绿色、开放、共享发展理念为指导，充分发挥市场在资源配置中的决定性作用和更好地发挥政府作用，健全配套政策体系，创新农业基础设施建设投入体制机制，大力推进农业领域政府和社会资本合作（简称PPP），提升农业投资整体效率与效益，为加快农业现代化提供有力支撑。</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（二）基本原则。</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 xml:space="preserve">　　——政府引导，公益导向。各级政府做好政策制定、发展规划、指导服务和市场监管，加快从农业领域公共产品的直接“提供者”，向社会资本“合作者”和项目“监管者”转变。在明确政府职能的前提下，以增强农业农村基础设施和公共服务供给能力为目标，积极引入社会资本合作，强化绩效评价和项目监管，实现公共利益最大化。</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市场运作，公平竞争。注重市场的资源配置功能，明确社会资本平等的市场主体地位，通过市场机制吸引社会资本合作。降低社会资本准入门槛，破除企业进入、退出农业基础设施和公共服务领域的壁垒，营造宽松、规范的政策环境。</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因地制宜，试点先行。根据农业项目特点，通过合理约定，建立风险分担和投资回报机制，确保社会资本投入回报，推进社会资本参与农业项目投融资、建设和管护。选择重点领域、重点项目先行试点探索，及时总结经验，完善相关政策，形成可复制、可推广的合作模式。</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二、重点领域与路径</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重点领域。拓宽社会资本参与现代农业建设的领域和范围，重点支持社会资本开展高标准农田、种子工程、现代渔港、农产品质量安全检测及追溯体系、动植物保护等农业基础设施建设和公共服务；引导社会资本参与农业废弃物资源化利用、农业面源污染治理、规模化大型沼气、农业资源环境保护与可持续发展等项目；鼓励社会资本参与现</w:t>
      </w:r>
      <w:r w:rsidRPr="009019B6">
        <w:rPr>
          <w:rFonts w:ascii="微软雅黑" w:eastAsia="微软雅黑" w:hAnsi="微软雅黑" w:cs="宋体" w:hint="eastAsia"/>
          <w:color w:val="000000"/>
          <w:kern w:val="0"/>
          <w:sz w:val="27"/>
          <w:szCs w:val="27"/>
        </w:rPr>
        <w:lastRenderedPageBreak/>
        <w:t>代农业示范区、农业物联网与信息化、农产品批发市场、旅游休闲农业发展。</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明确规程。地方政府从当地经济社会与现代农业发展需要出发，根据“十三五”全国农业现代化规划，确定本地区政府和社会资本合作的重点领域及其模式。根据具体项目的性质和特点，由当地政府主管部门或其委托的相关单位作为PPP项目实施机构，负责项目的准备及实施。科学界定政府与社会资本的权利职责，规范项目投资管理和实施程序，明确操作规则与机制。鼓励地方政府采用资本金注入的方式投资农业领域PPP项目，并明确出资人代表，参与项目准备及实施工作。</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合作责任。地方政府主导推动开展工作，建立农业领域PPP项目建设的部门协调推进机制，强化政策指导与服务；积极推进体制机制创新与政策创设，为社会资本获得合理回报创造条件。各类符合条件的国有企业、民营企业、外商投资企业、混合所有制企业，以及其他投资、经营主体均享有依法依规平等参与的权利；开展合作后要进一步依法完善企业法人治理结构，不断增强法制意识和履约能力，提升运营效率。</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三、项目管理</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（一）项目储备。各地发展改革部门会同农业部门，对重大农业项目进行分类汇总，在投资项目在线审批监管平台（重大建设项目库）基础上，建立本地区农业PPP项目储备库，建立贯通各地区、各部门的</w:t>
      </w:r>
      <w:r w:rsidRPr="009019B6">
        <w:rPr>
          <w:rFonts w:ascii="微软雅黑" w:eastAsia="微软雅黑" w:hAnsi="微软雅黑" w:cs="宋体" w:hint="eastAsia"/>
          <w:color w:val="000000"/>
          <w:kern w:val="0"/>
          <w:sz w:val="27"/>
          <w:szCs w:val="27"/>
        </w:rPr>
        <w:lastRenderedPageBreak/>
        <w:t>农业PPP项目信息平台。入库情况作为安排政府投资、确定与调整价格、发行企业债券及享受专项优惠政策的重要依据。</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审批流程。各地发展改革部门、农业部门会同相关部门建立农业PPP项目实施方案联评联审机制，对提出申请的农业建设项目从项目建设必要性、PPP模式适用性、价格合理性等方面进行审查，必要时组织相关专家进行评议或委托第三方专业机构出具评估意见。一般性政府投资项目，其PPP实施方案可结合可研报告审批一并审查审批；实行核准制或备案制的企业投资项目，在完成核准或备案后，实施机构依据相关要求完善和确定PPP实施方案，再进行审查审批。通过实施方案审查的项目，可以开展下一步工作；按规定需报当地政府批准的，在当地政府批准后开展下一步工作。</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合作伙伴选择。严格依据《招标投标法》、《政府采购法》相关法律法规，采取公开招标、邀请招标、竞争性谈判等多种形式，择优选择具有相应运营管理经验、专业水平、投融资能力以及信用状况良好的社会资本方作为合作伙伴，组织项目实施。社会资本方遴选结果要及时公告或公示，并明确申诉渠道和方式。社会资本方可依法设立项目公司。政府指定了出资人代表的，项目公司由政府出资人代表与社会资本方共同成立。</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（四）加强项目监管。政府及其部门应根据PPP项目合同及有关规定，建立项目全生命周期管理机制，实行全过程管理。加强可行性研究、招标投标、合同签订、项目建设和运营等方面的全程监督，监督内</w:t>
      </w:r>
      <w:r w:rsidRPr="009019B6">
        <w:rPr>
          <w:rFonts w:ascii="微软雅黑" w:eastAsia="微软雅黑" w:hAnsi="微软雅黑" w:cs="宋体" w:hint="eastAsia"/>
          <w:color w:val="000000"/>
          <w:kern w:val="0"/>
          <w:sz w:val="27"/>
          <w:szCs w:val="27"/>
        </w:rPr>
        <w:lastRenderedPageBreak/>
        <w:t>容包括项目公司或社会资本方履行PPP项目建设责任等，确保项目建设质量。提升项目管理水平，切实做好项目分类管理、动态监测、及时更新等各项工作。</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五）开展绩效评价。鼓励引进第三方评价机构，制定PPP项目绩效评价方案，对项目建设运营质量以及资金使用效率等方面进行综合评价。绩效评价结果应作为项目公司或社会资本方取得项目回报的依据。项目移交完成之后，适时开展项目后评价工作，评价结果及时反馈给项目利益相关方，并按有关规定公开。</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六）规范退出程序。项目建设过程中，如遇不可抗力或违约事件导致项目提前终止时，项目实施机构要及时做好接管，保障项目设施持续运行。政府和社会资本合作期满后，按照合同约定，妥善做好项目移交。积极构建多元化退出机制，为社会资本提供规范化、市场化的退出方式。</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四、政策支持</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加强政府农业投资引导。转变政府农业投入方式，积极探索通过投资补助、资本金注入等方式支持农业PPP项目，强化政府投资的撬动和引导作用。对同类农业项目，在同等条件下中央投资按照有关管理办法和程序要求，积极支持引入社会资本的PPP项目。使用各类政府投资的农业基础设施PPP项目，应纳入三年滚动政府投资计划。</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 xml:space="preserve">　　（二）加快农村集体产权制度改革。着力推进农村集体资产清产核资、确权到户和股份合作制改革。对已建成的重大农业基础设施开展确权试点，政府投资形成的资产归农村集体经济组织成员集体所有，社会资本投资的资产归投资者所有。建立健全农村产权流转交易市场，引导农村土地、集体资产及农业设施等产权规范流转交易。开展经营性集体资产折股量化到户试点，探索农村基础设施集体所有和发展股份合作经营的有效实现形式。</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创新金融服务与支持方式。着力提高农业PPP项目投融资效率，鼓励金融机构通过债权、股权、资产支持计划等多种方式，支持农业PPP项目。鼓励金融机构加大金融产品和服务创新力度，开展投贷联动、投贷保贴一体化等投融资模式试点；探索以项目预期收益或整体资产用作贷款抵（质）押担保。</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四）建立合理投资回报机制。积极探索优化准公益性与公益性农业项目的多种付费模式。采取资本金注入、直接投资、投资补助、贷款贴息等多种方式，实现社会资本的合理投资回报。完善农业基础设施使用价格制定与调整机制，合理确定价格收费标准。</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五）完善风险防控和分担机制。建立分工明确的风险防控机制，政府负责防范和化解政策风险，项目公司或社会资本方承担工程建设成本、质量、进度等风险，自然灾害等不可抗力风险由政府和社会资本共同承担。逐步建立完善全生命周期风险防控与识别体系，鼓励保险机构根据项目建设、运营的需求开发相应保险产品。加快完善农业生产经营</w:t>
      </w:r>
      <w:r w:rsidRPr="009019B6">
        <w:rPr>
          <w:rFonts w:ascii="微软雅黑" w:eastAsia="微软雅黑" w:hAnsi="微软雅黑" w:cs="宋体" w:hint="eastAsia"/>
          <w:color w:val="000000"/>
          <w:kern w:val="0"/>
          <w:sz w:val="27"/>
          <w:szCs w:val="27"/>
        </w:rPr>
        <w:lastRenderedPageBreak/>
        <w:t>保险，探索开展特色优势农产品价格指数保险，以及贷款保证保险和信用保险等业务。鼓励有条件的地方对设施农业、农机具等保险保费予以补贴。</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（六）保障项目用地需要。加强耕地资源的保护与利用，各地要在土地利用总体规划中统筹考虑项目建设需要。鼓励社会资本通过整理复垦增加耕地面积，落实耕地占补平衡，合理安排项目建设用地供给。</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五、试点示范</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（一）确定试点示范领域。鼓励各地围绕重点领域，选择适合当地特点、对农业发展有示范带动作用、需求长期稳定的农业基础设施建设和公共服务项目开展试点，探索合作机制。</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（二）抓好试点示范关键环节。地方政府要加强对试点项目实施必要性、可行性和具体操作模式的论证，明确项目实施主体和责任，建立合理的投资回报和风险分担机制，构建高效的监管模式。</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（三）做好试点项目评价总结。及时做好试点项目后评价和绩效评价，总结成功经验，形成可复制模式，逐步推广。试点情况要及时报送国家发展改革委、农业部。</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六、组织保障</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（一）加强组织领导。各地要切实提高认识，把农业领域政府与社会资本合作作为创新农业投融资机制的一项重要任务来抓。各级发改、</w:t>
      </w:r>
      <w:r w:rsidRPr="009019B6">
        <w:rPr>
          <w:rFonts w:ascii="微软雅黑" w:eastAsia="微软雅黑" w:hAnsi="微软雅黑" w:cs="宋体" w:hint="eastAsia"/>
          <w:color w:val="000000"/>
          <w:kern w:val="0"/>
          <w:sz w:val="27"/>
          <w:szCs w:val="27"/>
        </w:rPr>
        <w:lastRenderedPageBreak/>
        <w:t>农业等部门要明确各自职责分工，抓好工作部署，落实工作责任，及时研究解决合作项目建设运行中的重大问题。各地要依据当地实际情况制定实施细则，并抄送国家发展改革委与农业部。</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优化政策环境。各地要细化落实各项扶持政策，切实为社会资本进入农业领域创造公平有序的市场环境和保障有力的政策支持体系。切实加大对农业投入力度，加快涉农投资整合，强化农业领域信用体系建设，优化投资环境。根据项目实施情况，探索创设适合区域特点的具体政策，进一步提高社会资本进入农业领域的积极性。</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加强宣传引导。积极宣传引导社会资本参与农业领域项目建设，为相关责任主体和实施主体做好政策解释。认真总结试点经验与典型案例，营造良好的社会环境和舆论氛围，推动农业领域政府与社会资本合作。</w:t>
      </w:r>
    </w:p>
    <w:p w:rsidR="009019B6" w:rsidRPr="009019B6" w:rsidRDefault="009019B6" w:rsidP="009019B6">
      <w:pPr>
        <w:widowControl/>
        <w:spacing w:before="100" w:beforeAutospacing="1" w:after="100" w:afterAutospacing="1" w:line="480" w:lineRule="atLeast"/>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w:t>
      </w:r>
    </w:p>
    <w:p w:rsidR="009019B6" w:rsidRPr="009019B6" w:rsidRDefault="009019B6" w:rsidP="009019B6">
      <w:pPr>
        <w:widowControl/>
        <w:spacing w:before="100" w:beforeAutospacing="1" w:after="100" w:afterAutospacing="1" w:line="480" w:lineRule="atLeast"/>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国家发展改革委</w:t>
      </w:r>
    </w:p>
    <w:p w:rsidR="009019B6" w:rsidRPr="009019B6" w:rsidRDefault="009019B6" w:rsidP="009019B6">
      <w:pPr>
        <w:widowControl/>
        <w:spacing w:before="100" w:beforeAutospacing="1" w:after="100" w:afterAutospacing="1" w:line="480" w:lineRule="atLeast"/>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农　　业　　部</w:t>
      </w:r>
    </w:p>
    <w:p w:rsidR="009019B6" w:rsidRPr="009019B6" w:rsidRDefault="009019B6" w:rsidP="009019B6">
      <w:pPr>
        <w:widowControl/>
        <w:spacing w:before="100" w:beforeAutospacing="1" w:after="100" w:afterAutospacing="1" w:line="480" w:lineRule="atLeast"/>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2016年12月6日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29" w:name="_Toc12864280"/>
      <w:r w:rsidRPr="009019B6">
        <w:rPr>
          <w:rFonts w:hint="eastAsia"/>
          <w:sz w:val="30"/>
          <w:szCs w:val="30"/>
        </w:rPr>
        <w:lastRenderedPageBreak/>
        <w:t>农业部关于大力发展休闲农业的指导意见（农加发〔</w:t>
      </w:r>
      <w:r w:rsidRPr="009019B6">
        <w:rPr>
          <w:rFonts w:hint="eastAsia"/>
          <w:sz w:val="30"/>
          <w:szCs w:val="30"/>
        </w:rPr>
        <w:t>2016</w:t>
      </w:r>
      <w:r w:rsidRPr="009019B6">
        <w:rPr>
          <w:rFonts w:hint="eastAsia"/>
          <w:sz w:val="30"/>
          <w:szCs w:val="30"/>
        </w:rPr>
        <w:t>〕</w:t>
      </w:r>
      <w:r w:rsidRPr="009019B6">
        <w:rPr>
          <w:rFonts w:hint="eastAsia"/>
          <w:sz w:val="30"/>
          <w:szCs w:val="30"/>
        </w:rPr>
        <w:t>3</w:t>
      </w:r>
      <w:r w:rsidRPr="009019B6">
        <w:rPr>
          <w:rFonts w:hint="eastAsia"/>
          <w:sz w:val="30"/>
          <w:szCs w:val="30"/>
        </w:rPr>
        <w:t>号）</w:t>
      </w:r>
      <w:bookmarkEnd w:id="129"/>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日前，我国农业部印发了</w:t>
      </w:r>
      <w:r w:rsidRPr="009019B6">
        <w:rPr>
          <w:rFonts w:hint="eastAsia"/>
          <w:b/>
          <w:bCs/>
          <w:color w:val="000000"/>
          <w:sz w:val="27"/>
          <w:szCs w:val="27"/>
        </w:rPr>
        <w:t>《关于大力发展休闲农业的指导意见》（农加发〔2016〕3号）</w:t>
      </w:r>
      <w:r w:rsidRPr="009019B6">
        <w:rPr>
          <w:rFonts w:ascii="微软雅黑" w:eastAsia="微软雅黑" w:hAnsi="微软雅黑" w:hint="eastAsia"/>
          <w:color w:val="000000"/>
          <w:sz w:val="27"/>
          <w:szCs w:val="27"/>
        </w:rPr>
        <w:t>，以发展</w:t>
      </w:r>
      <w:hyperlink r:id="rId119" w:tgtFrame="_blank" w:history="1">
        <w:r w:rsidRPr="009019B6">
          <w:rPr>
            <w:rFonts w:hint="eastAsia"/>
            <w:color w:val="000000"/>
            <w:sz w:val="27"/>
            <w:szCs w:val="27"/>
          </w:rPr>
          <w:t>现代农业</w:t>
        </w:r>
      </w:hyperlink>
      <w:r w:rsidRPr="009019B6">
        <w:rPr>
          <w:rFonts w:ascii="微软雅黑" w:eastAsia="微软雅黑" w:hAnsi="微软雅黑" w:hint="eastAsia"/>
          <w:color w:val="000000"/>
          <w:sz w:val="27"/>
          <w:szCs w:val="27"/>
        </w:rPr>
        <w:t>、增加农民收入、建设社会主义新农村。其能更好的深入贯彻落实中央1号文件精神，进一步改善休闲农业的基础设施，提升服务质量，优化政策措施，推动产业持续健康发展。</w:t>
      </w:r>
    </w:p>
    <w:p w:rsidR="009019B6" w:rsidRPr="009019B6" w:rsidRDefault="009019B6" w:rsidP="009019B6">
      <w:pPr>
        <w:pStyle w:val="a8"/>
        <w:shd w:val="clear" w:color="auto" w:fill="FFFFFF"/>
        <w:wordWrap w:val="0"/>
        <w:spacing w:before="0" w:beforeAutospacing="0" w:after="375" w:afterAutospacing="0" w:line="375" w:lineRule="atLeast"/>
        <w:jc w:val="center"/>
        <w:rPr>
          <w:rFonts w:ascii="微软雅黑" w:eastAsia="微软雅黑" w:hAnsi="微软雅黑"/>
          <w:color w:val="000000"/>
          <w:sz w:val="27"/>
          <w:szCs w:val="27"/>
        </w:rPr>
      </w:pPr>
    </w:p>
    <w:p w:rsidR="009019B6" w:rsidRPr="009019B6" w:rsidRDefault="009019B6" w:rsidP="009019B6">
      <w:pPr>
        <w:pStyle w:val="a8"/>
        <w:shd w:val="clear" w:color="auto" w:fill="FFFFFF"/>
        <w:wordWrap w:val="0"/>
        <w:spacing w:before="0" w:beforeAutospacing="0" w:after="375" w:afterAutospacing="0" w:line="375" w:lineRule="atLeast"/>
        <w:ind w:firstLine="480"/>
        <w:jc w:val="center"/>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关于大力发展休闲农业的指导意见</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发展休闲农业是发展现代农业、增加农民收入、建设社会主义新农村的重要举措，是促进城乡居民消费升级、发展新经济、培育新动能的必然选择。为深入贯彻落实中央1号文件精神，进一步改善休闲农业的基础设施，提升服务质量，优化政策措施，推动产业持续健康发展，现提出如下意见。</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一、重要意义</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休闲农业是现代农业的新型产业形态、现代旅游的新型消费业态，为农林牧渔等多领域带来了新的增长点。“十二五”以来，全国休闲农业取得了长足发展，呈现出“发展加快、布局优化、质量提升、领域拓展”的良好态势，已成为经济社会发展的新亮点。“十三五”时期，随着城乡居民生活水平的提高、闲暇时间的增多和消费需求的升级，休闲</w:t>
      </w:r>
      <w:r w:rsidRPr="009019B6">
        <w:rPr>
          <w:rFonts w:ascii="微软雅黑" w:eastAsia="微软雅黑" w:hAnsi="微软雅黑" w:hint="eastAsia"/>
          <w:color w:val="000000"/>
          <w:sz w:val="27"/>
          <w:szCs w:val="27"/>
        </w:rPr>
        <w:lastRenderedPageBreak/>
        <w:t>农业仍有旺盛的需求，仍将处于黄金发展期。目前，休闲农业发展现状与爆发式增长的市场需求还不相适应，发展方式还比较粗放，存在思想准备不足、基础设施滞后、文化内涵挖掘不够、产品类型不够丰富、服务质量有待提高等问题，亟需提档升级。</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大力发展休闲农业，有利于推动农业和旅游供给侧结构性改革，促进农村一二三产业融合发展，是带动农民就业增收和产业脱贫的重要渠道，是推进全域化旅游和促进城乡一体化发展的重要载体。各地要充分认识休闲农业消费对增长的积极作用，进一步提高思想认识，完善政策措施，加大工作力度，切实推动休闲农业产品由低水平供需平衡向高水平供需平衡跃升，为促进农业强起来、农村美起来、农民富起来做出新贡献。</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二、总体要求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（一）指导思想</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深入贯彻党的十八大和十八届三中、四中、五中全会精神，牢固树立“创新、协调、绿色、开放、共享”的发展理念，紧紧围绕发展现代农业、增加农民收入、建设社会主义新农村三大任务，以促进农民就业增收、满足居民休闲消费需求、建设美丽宜居乡村为目标，以激发消费活力、促进产业升级、实施产业脱贫为着力点，坚持农耕文化为魂，美丽田园为韵，生态农业为基，传统村落为形，创新创造为径，加强统筹规划，强化规范管理，创新工作机制，优化发展政策，加大公共服务，</w:t>
      </w:r>
      <w:r w:rsidRPr="009019B6">
        <w:rPr>
          <w:rFonts w:ascii="微软雅黑" w:eastAsia="微软雅黑" w:hAnsi="微软雅黑" w:hint="eastAsia"/>
          <w:color w:val="000000"/>
          <w:sz w:val="27"/>
          <w:szCs w:val="27"/>
        </w:rPr>
        <w:lastRenderedPageBreak/>
        <w:t>整合项目资源，推进农业与旅游、教育、文化、健康养老等产业深度融合，大力提升休闲农业发展水平，着力将休闲农业产业培育成为繁荣农村、富裕农民的新兴支柱产业，为城乡居民提供望得见山、看得见水、记得住乡愁的高品质休闲旅游体验。</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（二）基本原则</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一是以农为本、促进增收。坚持以农业为基础，农民为主体，农村为场所，加强规划引导，科学构建利益分享机制，增强农民自主发展意识，激发农民</w:t>
      </w:r>
      <w:hyperlink r:id="rId120" w:tgtFrame="_blank" w:history="1">
        <w:r w:rsidRPr="009019B6">
          <w:rPr>
            <w:rFonts w:hint="eastAsia"/>
            <w:color w:val="000000"/>
            <w:sz w:val="27"/>
            <w:szCs w:val="27"/>
          </w:rPr>
          <w:t>创业</w:t>
        </w:r>
      </w:hyperlink>
      <w:r w:rsidRPr="009019B6">
        <w:rPr>
          <w:rFonts w:ascii="微软雅黑" w:eastAsia="微软雅黑" w:hAnsi="微软雅黑" w:hint="eastAsia"/>
          <w:color w:val="000000"/>
          <w:sz w:val="27"/>
          <w:szCs w:val="27"/>
        </w:rPr>
        <w:t>创新活力。二是多方融合、相互促进。加强与农耕文化传承、创意农业发展、</w:t>
      </w:r>
      <w:hyperlink r:id="rId121" w:tgtFrame="_blank" w:history="1">
        <w:r w:rsidRPr="009019B6">
          <w:rPr>
            <w:rFonts w:hint="eastAsia"/>
            <w:color w:val="000000"/>
            <w:sz w:val="27"/>
            <w:szCs w:val="27"/>
          </w:rPr>
          <w:t>乡村旅游</w:t>
        </w:r>
      </w:hyperlink>
      <w:r w:rsidRPr="009019B6">
        <w:rPr>
          <w:rFonts w:ascii="微软雅黑" w:eastAsia="微软雅黑" w:hAnsi="微软雅黑" w:hint="eastAsia"/>
          <w:color w:val="000000"/>
          <w:sz w:val="27"/>
          <w:szCs w:val="27"/>
        </w:rPr>
        <w:t>、传统村落传统民居保护、</w:t>
      </w:r>
      <w:hyperlink r:id="rId122" w:tgtFrame="_blank" w:history="1">
        <w:r w:rsidRPr="009019B6">
          <w:rPr>
            <w:rFonts w:hint="eastAsia"/>
            <w:color w:val="000000"/>
            <w:sz w:val="27"/>
            <w:szCs w:val="27"/>
          </w:rPr>
          <w:t>精准扶贫</w:t>
        </w:r>
      </w:hyperlink>
      <w:r w:rsidRPr="009019B6">
        <w:rPr>
          <w:rFonts w:ascii="微软雅黑" w:eastAsia="微软雅黑" w:hAnsi="微软雅黑" w:hint="eastAsia"/>
          <w:color w:val="000000"/>
          <w:sz w:val="27"/>
          <w:szCs w:val="27"/>
        </w:rPr>
        <w:t>、林下经济开发、森林旅游、水利风景区和古水利工程旅游、美丽乡村建设的有机融合，推动城乡一体化发展。三是因地制宜、特色发展。要结合资源禀赋、人文历史、交通区位和产业特色，在适宜区域，因地制宜、突出特色、适度发展，避免低水平重复建设。四是政府引导、多方参与。强化政府在政策扶持、规范管理、公共服务、营造环境等方面的作用，发挥市场配置资源的决定性作用，引导和支持社会资本开发农民参与度高、受益面广的休闲旅游项目，鼓励妇女积极参与休闲农业发展。五是保护环境、持续发展。遵循开发与保护并举、生产与生态并重的观念，统筹考虑资源和环境承载能力，加大生态环境保护力度，走生产发展、生活富裕、生态良好的文明发展道路。</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（三）主要目标</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到2020年，产业规模进一步扩大，接待人次达33亿人次，营业收入超过7000亿元；布局优化、类型丰富、功能完善、特色明显的格局基本形成；社会效益明显提高，从事休闲农业的农民收入较快增长；发展质量明显提高，服务水平较大提升，可持续发展能力进一步增强，成为拓展农业、繁荣农村、富裕农民的新兴支柱产业。</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三、主要任务</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加强规划引导。按照生产生活生态统一、一二三产业融合的总体要求，围绕农业生产过程、农民劳动生活和农村风情风貌，遵循乡村自身发展规律，因地制宜科学编制发展规划，调整产业结构，优化发展布局，补农村短板，扬农村长处，注意乡土味道，保留乡村风貌，留住田园乡愁，形成串点成线、连片成带、集群成圈的发展格局。要挖掘农业文明，注重参与体验，突出文化特色，加大资源整合力度，形成集农业生产、农耕体验、文化娱乐、教育展示、水族观赏、休闲垂钓、产品加工销售于一体的休闲农业点（村、园），打造生产标准化、经营集约化、服务规范化、功能多样化的休闲农业产业带和产业群。积极推进“多规合一”，注重休闲农业专项规划与当地经济社会发展规划、城乡规划、土地利用规划、异地扶贫搬迁规划等的有效衔接。依托休闲农业点（村、园）、乡村旅游区建设搬迁安置区，着力解决异地扶贫搬迁群众的就业脱贫问题。</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二）丰富产品业态。鼓励各地依托农村绿水青山、田园风光、乡土文化等资源，有规划地开发休闲农庄、乡村酒店、特色民宿、自驾车房车营地、户外运动等乡村休闲度假产品，大力发展休闲度假、旅游观光、养生养老、创意农业、农耕体验、乡村手工艺等，促进休闲农业的多样化、个性化发展。支持农民发展农（林、牧、渔）家乐，积极扶持农民发展休闲农业合作社，鼓励发展以休闲农业为核心的一二三产业融合发展聚集村；加强乡村生态环境和文化遗存保护，发展具有历史记忆、地域特点、民族风情的</w:t>
      </w:r>
      <w:hyperlink r:id="rId123" w:tgtFrame="_blank" w:history="1">
        <w:r w:rsidRPr="009019B6">
          <w:rPr>
            <w:rFonts w:hint="eastAsia"/>
            <w:color w:val="000000"/>
            <w:sz w:val="27"/>
            <w:szCs w:val="27"/>
          </w:rPr>
          <w:t>特色小镇</w:t>
        </w:r>
      </w:hyperlink>
      <w:r w:rsidRPr="009019B6">
        <w:rPr>
          <w:rFonts w:ascii="微软雅黑" w:eastAsia="微软雅黑" w:hAnsi="微软雅黑" w:hint="eastAsia"/>
          <w:color w:val="000000"/>
          <w:sz w:val="27"/>
          <w:szCs w:val="27"/>
        </w:rPr>
        <w:t>，建设一村一品、一村一景、一村一韵的美丽村庄和宜游宜养的森林景区。引导和支持社会资本开发农民参与度高、受益面广的休闲旅游项目。鼓励各地探索农业主题</w:t>
      </w:r>
      <w:hyperlink r:id="rId124" w:tgtFrame="_blank" w:history="1">
        <w:r w:rsidRPr="009019B6">
          <w:rPr>
            <w:rFonts w:hint="eastAsia"/>
            <w:color w:val="000000"/>
            <w:sz w:val="27"/>
            <w:szCs w:val="27"/>
          </w:rPr>
          <w:t>公园</w:t>
        </w:r>
      </w:hyperlink>
      <w:r w:rsidRPr="009019B6">
        <w:rPr>
          <w:rFonts w:ascii="微软雅黑" w:eastAsia="微软雅黑" w:hAnsi="微软雅黑" w:hint="eastAsia"/>
          <w:color w:val="000000"/>
          <w:sz w:val="27"/>
          <w:szCs w:val="27"/>
        </w:rPr>
        <w:t>、农业嘉年华、教育农园、摄影基地、特色小镇、渔人码头、运动垂钓示范基地等，提高产业融合的综合效益。</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改善基础设施。实施休闲农业和乡村旅游提升工程，扶持建设一批功能完备、特色突出、服务优良的休闲农业聚集村、休闲农业园、休闲农业合作社，着力改善开展休闲农业村庄的道路、供水设施、宽带、停车场、厕所、垃圾污水处理、游客综合</w:t>
      </w:r>
      <w:hyperlink r:id="rId125" w:tgtFrame="_blank" w:history="1">
        <w:r w:rsidRPr="009019B6">
          <w:rPr>
            <w:rFonts w:hint="eastAsia"/>
            <w:color w:val="000000"/>
            <w:sz w:val="27"/>
            <w:szCs w:val="27"/>
          </w:rPr>
          <w:t>服务中心</w:t>
        </w:r>
      </w:hyperlink>
      <w:r w:rsidRPr="009019B6">
        <w:rPr>
          <w:rFonts w:ascii="微软雅黑" w:eastAsia="微软雅黑" w:hAnsi="微软雅黑" w:hint="eastAsia"/>
          <w:color w:val="000000"/>
          <w:sz w:val="27"/>
          <w:szCs w:val="27"/>
        </w:rPr>
        <w:t>、餐饮住宿的洗涤消毒设施、农事景观观光道路、休闲辅助设施、乡村民俗展览馆和演艺场所等基础服务设施，改善休闲农业基地的种养条件，实现特色农业加速发展、村容环境净化美化和休闲服务能力同步提升。鼓励因地制宜兴建特色餐饮、特色民宿、购物、娱乐等配套服务设施，满足消费者多样化的需求。</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lastRenderedPageBreak/>
        <w:t>（四）推动产业扶贫。对资源禀赋有优势的贫困地区，要优先支持农民，特别是建档立卡贫困户发展休闲农业合作社、农家乐和小型采摘园等，重点实施建档立卡贫困村“一村一品”产业推进行动，带动贫困地区传统种养产业转型升级，促进贫困地区脱贫</w:t>
      </w:r>
      <w:hyperlink r:id="rId126" w:tgtFrame="_blank" w:history="1">
        <w:r w:rsidRPr="009019B6">
          <w:rPr>
            <w:rFonts w:hint="eastAsia"/>
            <w:color w:val="000000"/>
            <w:sz w:val="27"/>
            <w:szCs w:val="27"/>
          </w:rPr>
          <w:t>致富</w:t>
        </w:r>
      </w:hyperlink>
      <w:r w:rsidRPr="009019B6">
        <w:rPr>
          <w:rFonts w:ascii="微软雅黑" w:eastAsia="微软雅黑" w:hAnsi="微软雅黑" w:hint="eastAsia"/>
          <w:color w:val="000000"/>
          <w:sz w:val="27"/>
          <w:szCs w:val="27"/>
        </w:rPr>
        <w:t>。要探索社会资本参与贫困地区发展休闲农业的利益分享机制，引导和支持社会资本开发农民参与度高、受益面广的项目，着力推动精准脱贫。要通过休闲农业，推动贫困地区优质农副土特产品的加工和销售。积极培树创办领办休闲农业致富带头人，注重培树巾帼创办领办休闲农业致富带头人。</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五）弘扬优秀农耕文化。做好农业文化遗产普查工作，准确掌握全国农业生产系统的发布状况和濒危程度。按照“在发掘中保护、在利用中传承”的思路，加大对农业文化遗产价值的发掘，加强对已认定的农业文化遗产的动态监督管理，加大挖掘、保护、传承和利用力度，推动遗产地经济社会可持续发展。要合理开发农业文化遗产，大力推进优秀农耕文化教育进校园，加强大中小学生的国情乡情教育，统筹利用现有资源建设农业教育、社会实践和研学旅游示范基地，实施中国传统工艺振兴计划，支持发展妇女手工艺特色产业项目。</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六）保护传统村落。不断加强传统村落、传统民居的保护力度，按照保持传统村落完整性、真实性、延续性要求，保护村落文化遗产，改善基础设施和公共服务设施。建立保护管理机制，做好中国传统村落保护项目实施和监督。注重农村文化资源挖掘，强化休闲农业经营场所的创意设计，推进农业与文化、科技、生态、旅游的融合，提升休闲农</w:t>
      </w:r>
      <w:r w:rsidRPr="009019B6">
        <w:rPr>
          <w:rFonts w:ascii="微软雅黑" w:eastAsia="微软雅黑" w:hAnsi="微软雅黑" w:hint="eastAsia"/>
          <w:color w:val="000000"/>
          <w:sz w:val="27"/>
          <w:szCs w:val="27"/>
        </w:rPr>
        <w:lastRenderedPageBreak/>
        <w:t>业的文化软实力。发展主客共享的美丽休闲乡村，加快乡土民俗文化的推广、保护和延续。</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七）培育知名品牌。在整合优化的基础上，重点打造点线面结合的休闲农业品牌体系。在面上，继续开展全国休闲农业示范县（市、区）创建，着力培育一批示范带动能力强的休闲农业集聚区。在点上，继续开展中国美丽休闲乡村推介活动，在全国打造一批天蓝、地绿、水净，安居、乐业、增收的美丽休闲乡村（镇）。在线上，重点开展休闲农业精品景点线路推介，吸引城乡居民到乡村休闲消费。鼓励各地因地制宜开展多种形式的品牌创建与推介活动，培育地方品牌。</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四、保障措施</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（一）强化政策落实创设。支持有条件的地方通过盘活农村闲置房屋、集体建设用地、开展城乡建设用地增减挂钩试点、“四</w:t>
      </w:r>
      <w:hyperlink r:id="rId127" w:tgtFrame="_blank" w:history="1">
        <w:r w:rsidRPr="009019B6">
          <w:rPr>
            <w:rFonts w:hint="eastAsia"/>
            <w:color w:val="000000"/>
            <w:sz w:val="27"/>
            <w:szCs w:val="27"/>
          </w:rPr>
          <w:t>荒地</w:t>
        </w:r>
      </w:hyperlink>
      <w:r w:rsidRPr="009019B6">
        <w:rPr>
          <w:rFonts w:ascii="微软雅黑" w:eastAsia="微软雅黑" w:hAnsi="微软雅黑" w:hint="eastAsia"/>
          <w:color w:val="000000"/>
          <w:sz w:val="27"/>
          <w:szCs w:val="27"/>
        </w:rPr>
        <w:t>”、可用林场和水面、边远海岛等资产资源发展休闲农业。鼓励各地将休闲农业和乡村旅游项目建设用地纳入土地利用总体规划和年度计划合理安排。在符合相关规划的前提下，农村集体经济组织可以依法使用建设用地自办或以土地使用权入股、联营等方式与其他单位和个人共同举办住宿、餐饮、停车场等休闲旅游接待服务企业。鼓励各地将中央有关乡村建设资金适当向休闲农业集聚区倾斜。鼓励各地采取以奖代补、先建后补、财政贴息、设立产业</w:t>
      </w:r>
      <w:hyperlink r:id="rId128" w:tgtFrame="_blank" w:history="1">
        <w:r w:rsidRPr="009019B6">
          <w:rPr>
            <w:rFonts w:hint="eastAsia"/>
            <w:color w:val="000000"/>
            <w:sz w:val="27"/>
            <w:szCs w:val="27"/>
          </w:rPr>
          <w:t>投资</w:t>
        </w:r>
      </w:hyperlink>
      <w:r w:rsidRPr="009019B6">
        <w:rPr>
          <w:rFonts w:ascii="微软雅黑" w:eastAsia="微软雅黑" w:hAnsi="微软雅黑" w:hint="eastAsia"/>
          <w:color w:val="000000"/>
          <w:sz w:val="27"/>
          <w:szCs w:val="27"/>
        </w:rPr>
        <w:t>基金等方式加大财政扶持力度。金融机构要创新担保机制和信贷模式，扩大对休闲农业和乡村旅游经营主体的信</w:t>
      </w:r>
      <w:r w:rsidRPr="009019B6">
        <w:rPr>
          <w:rFonts w:ascii="微软雅黑" w:eastAsia="微软雅黑" w:hAnsi="微软雅黑" w:hint="eastAsia"/>
          <w:color w:val="000000"/>
          <w:sz w:val="27"/>
          <w:szCs w:val="27"/>
        </w:rPr>
        <w:lastRenderedPageBreak/>
        <w:t>贷支持。鼓励社会资本依法合规利用PPP模式、众筹模式、“互联网+”模式、发行债券等新型融资模式投资休闲农业。国家推动重要农业文化遗产的保护、传承和利用。各地要加大投资力度，组织实施休闲农业和乡村旅游提升工程，推动休闲农业和乡村旅游的提档升级。</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加大公共服务。依托职业院校、行业协会和产业基地，分类、分层开展休闲农业管理和服务人员培训，提高从业人员素质。加强科技支撑，依托科研教学单位建立一批设计研究中心、规划中心、创意中心，为产业发展提供智力支撑。鼓励社会资本参与休闲农业宣传推介平台建设，加快构建网络营销、网络预订和网上支付等公共服务平台，增强线上线下营销能力。强化行业运行监测分析，构建完善的休闲农业和乡村旅游监测统计制度。</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加强规范管理。加大休闲农业行业标准的制定和宣贯力度，逐步推进管理规范化和服务标准化。鼓励各地根据实际情况制定地方行业标准，推动本地休闲农业和乡村旅游规范有序发展。加大对认定的全国休闲农业和乡村旅游示范县示范点、中国美丽休闲乡村、全国休闲农业星级企业、特色景观旅游名镇名村示范等景点的动态管理，确保服务质量和水平。加强行业组织服务，加快形成自我管理、自我监督、自我服务的社会化服务体系。强化安全意识，提倡文明出行和诚信经营。</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（四）强化宣传推介。按照“统筹谋划、系统部署、上下联动、均衡有序、重点推进”的思路，在重大节假日前和重要农事节庆节点，充</w:t>
      </w:r>
      <w:r w:rsidRPr="009019B6">
        <w:rPr>
          <w:rFonts w:ascii="微软雅黑" w:eastAsia="微软雅黑" w:hAnsi="微软雅黑" w:hint="eastAsia"/>
          <w:color w:val="000000"/>
          <w:sz w:val="27"/>
          <w:szCs w:val="27"/>
        </w:rPr>
        <w:lastRenderedPageBreak/>
        <w:t>分利用网络、电视、报纸、微信等，以图文并茂的形式，有组织、有计划地开展全国性的休闲农业精品景点宣传推介，吸引城乡居民到乡村休闲消费。鼓励各地通过传统媒体和互联网等新兴媒体宣传推介精品线路和精品景点，扩大休闲农业和乡村旅游产业的影响力。鼓励各地举办特色鲜明、影响力大、公益性强的农事节庆活动，努力营造发展的良好氛围。</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五、组织领导</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一）加强组织实施。各地要从战略和全局的高度深化对发展休闲农业的认识，将休闲农业纳入当地国民经济和社会发展规划，出台具体的政策措施，支持休闲农业和乡村旅游发展。要充实工作力量，加强人才队伍建设，建立高效的管理体系。要认真履行规划指导、监督管理、协调服务的职责，组织拟定发展战略、政策、规划、计划并指导实施，切实提高推动休闲农业科学发展的能力。</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二）明确任务分工。各相关部门要结合实际情况，支持休闲农业的发展。农业部门负责牵头落实本地休闲农业发展工作，指导产业的整体发展，并做好宣传推广工作。发展改革部门负责统筹利用现有渠道资金完善休闲农业的基础设施建设工作，将休闲农业和乡村旅游作为农村一二三产业融合“百县千乡万村”试点示范工程的重要内容予以支持。工业和信息化部门负责指导休闲农业和乡村旅游电子商务平台搭建。财政部门负责落实财税支持政策，通过现有资金渠道对重要农业文化遗产</w:t>
      </w:r>
      <w:r w:rsidRPr="009019B6">
        <w:rPr>
          <w:rFonts w:ascii="微软雅黑" w:eastAsia="微软雅黑" w:hAnsi="微软雅黑" w:hint="eastAsia"/>
          <w:color w:val="000000"/>
          <w:sz w:val="27"/>
          <w:szCs w:val="27"/>
        </w:rPr>
        <w:lastRenderedPageBreak/>
        <w:t>保护项目予以支持。国土部门负责落实休闲农业和乡村旅游用地政策。住房和城乡建设部门负责指导村庄的规划建设、传统村落和民居保护等工作。水利部门负责指导相关供水设施建设管理、河湖管理保护和水利风景区建设发展。文化部门和文物部门负责指导乡村文化和文物的挖掘保护和传承利用工作。人民银行等金融管理部门负责指导金融机构落实金融政策。林业部门负责指导森林、湿地等自然资源的保护与开发利用。旅游部门负责指导乡村旅游发展工作，推动乡村旅游与休闲农业融合发展。扶贫部门负责协调使用扶贫等专项资金，支持建档立卡贫困户因地制宜发展带动建档立卡贫困户的休闲农业和乡村旅游。妇联负责指导妇女发展休闲农业和乡村旅游，充分发挥“半边天”作用。</w:t>
      </w:r>
    </w:p>
    <w:p w:rsidR="009019B6" w:rsidRPr="009019B6" w:rsidRDefault="009019B6" w:rsidP="009019B6">
      <w:pPr>
        <w:pStyle w:val="a8"/>
        <w:shd w:val="clear" w:color="auto" w:fill="FFFFFF"/>
        <w:wordWrap w:val="0"/>
        <w:spacing w:before="0" w:beforeAutospacing="0" w:after="375" w:afterAutospacing="0" w:line="375" w:lineRule="atLeast"/>
        <w:ind w:firstLine="480"/>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三）形成工作合力。各相关部门要结合职能，将休闲农业发展的有关工作纳入各自工作体系，并予以重点支持。鼓励各地成立由农业部门牵头，有关部门共同参与的工作协调机制，共同推进有关工作落实。各地要将休闲农业纳入当地国民经济和社会发展规划，列入当地经济发展统计指标体系，出台具体的政策措施，整合资金，集中力量，支持休闲农业重点区域的发展。同时，广泛吸引社会力量参与休闲农业的发展，鼓励企业、院校、协会和社会组织发挥积极作用。</w:t>
      </w:r>
    </w:p>
    <w:p w:rsidR="009019B6" w:rsidRPr="009019B6" w:rsidRDefault="009019B6" w:rsidP="009019B6">
      <w:pPr>
        <w:pStyle w:val="a8"/>
        <w:shd w:val="clear" w:color="auto" w:fill="FFFFFF"/>
        <w:wordWrap w:val="0"/>
        <w:spacing w:before="0" w:beforeAutospacing="0" w:after="375" w:afterAutospacing="0" w:line="375" w:lineRule="atLeast"/>
        <w:ind w:firstLine="480"/>
        <w:jc w:val="right"/>
        <w:rPr>
          <w:rFonts w:ascii="微软雅黑" w:eastAsia="微软雅黑" w:hAnsi="微软雅黑"/>
          <w:color w:val="000000"/>
          <w:sz w:val="27"/>
          <w:szCs w:val="27"/>
        </w:rPr>
      </w:pPr>
      <w:r w:rsidRPr="009019B6">
        <w:rPr>
          <w:rFonts w:ascii="微软雅黑" w:eastAsia="微软雅黑" w:hAnsi="微软雅黑" w:hint="eastAsia"/>
          <w:color w:val="000000"/>
          <w:sz w:val="27"/>
          <w:szCs w:val="27"/>
        </w:rPr>
        <w:t>2016年7月8日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30" w:name="_Toc12864281"/>
      <w:r w:rsidRPr="009019B6">
        <w:rPr>
          <w:rFonts w:hint="eastAsia"/>
          <w:sz w:val="30"/>
          <w:szCs w:val="30"/>
        </w:rPr>
        <w:lastRenderedPageBreak/>
        <w:t>国务院办公厅关于推进农村一二三产业融合发展的指导意见（国办发〔</w:t>
      </w:r>
      <w:r w:rsidRPr="009019B6">
        <w:rPr>
          <w:rFonts w:hint="eastAsia"/>
          <w:sz w:val="30"/>
          <w:szCs w:val="30"/>
        </w:rPr>
        <w:t>2015</w:t>
      </w:r>
      <w:r w:rsidRPr="009019B6">
        <w:rPr>
          <w:rFonts w:hint="eastAsia"/>
          <w:sz w:val="30"/>
          <w:szCs w:val="30"/>
        </w:rPr>
        <w:t>〕</w:t>
      </w:r>
      <w:r w:rsidRPr="009019B6">
        <w:rPr>
          <w:rFonts w:hint="eastAsia"/>
          <w:sz w:val="30"/>
          <w:szCs w:val="30"/>
        </w:rPr>
        <w:t>93</w:t>
      </w:r>
      <w:r w:rsidRPr="009019B6">
        <w:rPr>
          <w:rFonts w:hint="eastAsia"/>
          <w:sz w:val="30"/>
          <w:szCs w:val="30"/>
        </w:rPr>
        <w:t>号）</w:t>
      </w:r>
      <w:bookmarkEnd w:id="130"/>
    </w:p>
    <w:p w:rsidR="009019B6" w:rsidRPr="009019B6" w:rsidRDefault="009019B6" w:rsidP="009019B6">
      <w:pPr>
        <w:widowControl/>
        <w:shd w:val="clear" w:color="auto" w:fill="FFFFFF"/>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各省、自治区、直辖市人民政府，国务院各部委、各直属机构：</w:t>
      </w:r>
      <w:r w:rsidRPr="009019B6">
        <w:rPr>
          <w:rFonts w:ascii="微软雅黑" w:eastAsia="微软雅黑" w:hAnsi="微软雅黑" w:cs="宋体" w:hint="eastAsia"/>
          <w:color w:val="000000"/>
          <w:kern w:val="0"/>
          <w:sz w:val="27"/>
          <w:szCs w:val="27"/>
        </w:rPr>
        <w:br/>
        <w:t xml:space="preserve">　　推进农村一二三产业（以下简称农村产业）融合发展，是拓宽农民增收渠道、构建现代农业产业体系的重要举措，是加快转变农业发展方式、探索中国特色农业现代化道路的必然要求。经国务院同意，现提出如下意见：</w:t>
      </w:r>
      <w:r w:rsidRPr="009019B6">
        <w:rPr>
          <w:rFonts w:ascii="微软雅黑" w:eastAsia="微软雅黑" w:hAnsi="微软雅黑" w:cs="宋体" w:hint="eastAsia"/>
          <w:color w:val="000000"/>
          <w:kern w:val="0"/>
          <w:sz w:val="27"/>
          <w:szCs w:val="27"/>
        </w:rPr>
        <w:br/>
        <w:t xml:space="preserve">　　一、总体要求</w:t>
      </w:r>
      <w:r w:rsidRPr="009019B6">
        <w:rPr>
          <w:rFonts w:ascii="微软雅黑" w:eastAsia="微软雅黑" w:hAnsi="微软雅黑" w:cs="宋体" w:hint="eastAsia"/>
          <w:color w:val="000000"/>
          <w:kern w:val="0"/>
          <w:sz w:val="27"/>
          <w:szCs w:val="27"/>
        </w:rPr>
        <w:br/>
        <w:t xml:space="preserve">　　（一）指导思想。全面贯彻落实党的十八大和十八届二中、三中、四中、五中全会精神，按照党中央、国务院决策部署，坚持“四个全面”战略布局，牢固树立创新、协调、绿色、开放、共享的发展理念，主动适应经济发展新常态，用工业理念发展农业，以市场需求为导向，以完善利益联结机制为核心，以制度、技术和商业模式创新为动力，以新型城镇化为依托，推进农业供给侧结构性改革，着力构建农业与二三产业交叉融合的现代产业体系，形成城乡一体化的农村发展新格局，促进农业增效、农民增收和农村繁荣，为国民经济持续健康发展和全面建成小康社会提供重要支撑。</w:t>
      </w:r>
      <w:r w:rsidRPr="009019B6">
        <w:rPr>
          <w:rFonts w:ascii="微软雅黑" w:eastAsia="微软雅黑" w:hAnsi="微软雅黑" w:cs="宋体" w:hint="eastAsia"/>
          <w:color w:val="000000"/>
          <w:kern w:val="0"/>
          <w:sz w:val="27"/>
          <w:szCs w:val="27"/>
        </w:rPr>
        <w:br/>
        <w:t xml:space="preserve">　　（二）基本原则。坚持和完善农村基本经营制度，严守耕地保护红线，提高农业综合生产能力，确保国家粮食安全。坚持因地制宜，分类指导，探索不同地区、不同产业融合模式。坚持尊重农民意愿，强化利益联结，保障农民获得合理的产业链增值收益。坚持市场导向，充分发挥市场配置资源的决定性作用，更好发挥政府作用，营造良好市场环境，</w:t>
      </w:r>
      <w:r w:rsidRPr="009019B6">
        <w:rPr>
          <w:rFonts w:ascii="微软雅黑" w:eastAsia="微软雅黑" w:hAnsi="微软雅黑" w:cs="宋体" w:hint="eastAsia"/>
          <w:color w:val="000000"/>
          <w:kern w:val="0"/>
          <w:sz w:val="27"/>
          <w:szCs w:val="27"/>
        </w:rPr>
        <w:lastRenderedPageBreak/>
        <w:t>加快培育市场主体。坚持改革创新，打破要素瓶颈制约和体制机制障碍，激发融合发展活力。坚持农业现代化与新型城镇化相衔接，与新农村建设协调推进，引导农村产业集聚发展。</w:t>
      </w:r>
      <w:r w:rsidRPr="009019B6">
        <w:rPr>
          <w:rFonts w:ascii="微软雅黑" w:eastAsia="微软雅黑" w:hAnsi="微软雅黑" w:cs="宋体" w:hint="eastAsia"/>
          <w:color w:val="000000"/>
          <w:kern w:val="0"/>
          <w:sz w:val="27"/>
          <w:szCs w:val="27"/>
        </w:rPr>
        <w:br/>
        <w:t xml:space="preserve">　　（三）主要目标。到2020年，农村产业融合发展总体水平明显提升，产业链条完整、功能多样、业态丰富、利益联结紧密、产城融合更加协调的新格局基本形成，农业竞争力明显提高，农民收入持续增加，农村活力显著增强。</w:t>
      </w:r>
      <w:r w:rsidRPr="009019B6">
        <w:rPr>
          <w:rFonts w:ascii="微软雅黑" w:eastAsia="微软雅黑" w:hAnsi="微软雅黑" w:cs="宋体" w:hint="eastAsia"/>
          <w:color w:val="000000"/>
          <w:kern w:val="0"/>
          <w:sz w:val="27"/>
          <w:szCs w:val="27"/>
        </w:rPr>
        <w:br/>
        <w:t xml:space="preserve">　　二、发展多类型农村产业融合方式</w:t>
      </w:r>
      <w:r w:rsidRPr="009019B6">
        <w:rPr>
          <w:rFonts w:ascii="微软雅黑" w:eastAsia="微软雅黑" w:hAnsi="微软雅黑" w:cs="宋体" w:hint="eastAsia"/>
          <w:color w:val="000000"/>
          <w:kern w:val="0"/>
          <w:sz w:val="27"/>
          <w:szCs w:val="27"/>
        </w:rPr>
        <w:br/>
        <w:t xml:space="preserve">　　（四）着力推进新型城镇化。将农村产业融合发展与新型城镇化建设有机结合，引导农村二三产业向县城、重点乡镇及产业园区等集中。加强规划引导和市场开发，培育农产品加工、商贸物流等专业特色小城镇。强化产业支撑，实施差别化落户政策，努力实现城镇基本公共服务常住人口全覆盖，稳定吸纳农业转移人口。（发展改革委、农业部、商务部等负责）</w:t>
      </w:r>
      <w:r w:rsidRPr="009019B6">
        <w:rPr>
          <w:rFonts w:ascii="微软雅黑" w:eastAsia="微软雅黑" w:hAnsi="微软雅黑" w:cs="宋体" w:hint="eastAsia"/>
          <w:color w:val="000000"/>
          <w:kern w:val="0"/>
          <w:sz w:val="27"/>
          <w:szCs w:val="27"/>
        </w:rPr>
        <w:br/>
        <w:t xml:space="preserve">　　（五）加快农业结构调整。以农牧结合、农林结合、循环发展为导向，调整优化农业种植养殖结构，加快发展绿色农业。建设现代饲草料产业体系，推广优质饲草料种植，促进粮食、经济作物、饲草料三元种植结构协调发展。大力发展种养结合循环农业，合理布局规模化养殖场。加强海洋牧场建设。积极发展林下经济，推进农林复合经营。推广适合精深加工、休闲采摘的作物新品种。加强农业标准体系建设，严格生产全过程管理。（农业部、林业局、科技部等负责）</w:t>
      </w:r>
      <w:r w:rsidRPr="009019B6">
        <w:rPr>
          <w:rFonts w:ascii="微软雅黑" w:eastAsia="微软雅黑" w:hAnsi="微软雅黑" w:cs="宋体" w:hint="eastAsia"/>
          <w:color w:val="000000"/>
          <w:kern w:val="0"/>
          <w:sz w:val="27"/>
          <w:szCs w:val="27"/>
        </w:rPr>
        <w:br/>
        <w:t xml:space="preserve">　　（六）延伸农业产业链。发展农业生产性服务业，鼓励开展代耕代</w:t>
      </w:r>
      <w:r w:rsidRPr="009019B6">
        <w:rPr>
          <w:rFonts w:ascii="微软雅黑" w:eastAsia="微软雅黑" w:hAnsi="微软雅黑" w:cs="宋体" w:hint="eastAsia"/>
          <w:color w:val="000000"/>
          <w:kern w:val="0"/>
          <w:sz w:val="27"/>
          <w:szCs w:val="27"/>
        </w:rPr>
        <w:lastRenderedPageBreak/>
        <w:t>种代收、大田托管、统防统治、烘干储藏等市场化和专业化服务。完善农产品产地初加工补助政策，扩大实施区域和品种范围，初加工用电享受农用电政策。加强政策引导，支持农产品深加工发展，促进其向优势产区和关键物流节点集中，加快消化粮棉油库存。支持农村特色加工业发展。加快农产品冷链物流体系建设，支持优势产区产地批发市场建设，推进市场流通体系与储运加工布局有机衔接。在各省（区、市）年度建设用地指标中单列一定比例，专门用于新型农业经营主体进行农产品加工、仓储物流、产地批发市场等辅助设施建设。健全农产品产地营销体系，推广农超、农企等形式的产销对接，鼓励在城市社区设立鲜活农产品直销网点。（农业部、发展改革委、财政部、工业和信息化部、国土资源部、商务部、供销合作总社等负责）</w:t>
      </w:r>
      <w:r w:rsidRPr="009019B6">
        <w:rPr>
          <w:rFonts w:ascii="微软雅黑" w:eastAsia="微软雅黑" w:hAnsi="微软雅黑" w:cs="宋体" w:hint="eastAsia"/>
          <w:color w:val="000000"/>
          <w:kern w:val="0"/>
          <w:sz w:val="27"/>
          <w:szCs w:val="27"/>
        </w:rPr>
        <w:br/>
        <w:t xml:space="preserve">　　（七）拓展农业多种功能。加强统筹规划，推进农业与旅游、教育、文化、健康养老等产业深度融合。积极发展多种形式的农家乐，提升管理水平和服务质量。建设一批具有历史、地域、民族特点的特色旅游村镇和乡村旅游示范村，有序发展新型乡村旅游休闲产品。鼓励有条件的地区发展智慧乡村游，提高在线营销能力。加强农村传统文化保护，合理开发农业文化遗产，大力推进农耕文化教育进校园，统筹利用现有资源建设农业教育和社会实践基地，引导公众特别是中小学生参与农业科普和农事体验。（农业部、旅游局、发展改革委、财政部、教育部、文化部、民政部、林业局等负责）</w:t>
      </w:r>
      <w:r w:rsidRPr="009019B6">
        <w:rPr>
          <w:rFonts w:ascii="微软雅黑" w:eastAsia="微软雅黑" w:hAnsi="微软雅黑" w:cs="宋体" w:hint="eastAsia"/>
          <w:color w:val="000000"/>
          <w:kern w:val="0"/>
          <w:sz w:val="27"/>
          <w:szCs w:val="27"/>
        </w:rPr>
        <w:br/>
        <w:t xml:space="preserve">　　（八）大力发展农业新型业态。实施“互联网+现代农业”行动，推进现代信息技术应用于农业生产、经营、管理和服务，鼓励对大田种</w:t>
      </w:r>
      <w:r w:rsidRPr="009019B6">
        <w:rPr>
          <w:rFonts w:ascii="微软雅黑" w:eastAsia="微软雅黑" w:hAnsi="微软雅黑" w:cs="宋体" w:hint="eastAsia"/>
          <w:color w:val="000000"/>
          <w:kern w:val="0"/>
          <w:sz w:val="27"/>
          <w:szCs w:val="27"/>
        </w:rPr>
        <w:lastRenderedPageBreak/>
        <w:t>植、畜禽养殖、渔业生产等进行物联网改造。采用大数据、云计算等技术，改进监测统计、分析预警、信息发布等手段，健全农业信息监测预警体系。大力发展农产品电子商务，完善配送及综合服务网络。推动科技、人文等元素融入农业，发展农田艺术景观、阳台农艺等创意农业。鼓励在大城市郊区发展工厂化、立体化等高科技农业，提高本地鲜活农产品供应保障能力。鼓励发展农业生产租赁业务，积极探索农产品个性化定制服务、会展农业、农业众筹等新型业态。（农业部、发展改革委、科技部、工业和信息化部、财政部、商务部、林业局等负责）</w:t>
      </w:r>
      <w:r w:rsidRPr="009019B6">
        <w:rPr>
          <w:rFonts w:ascii="微软雅黑" w:eastAsia="微软雅黑" w:hAnsi="微软雅黑" w:cs="宋体" w:hint="eastAsia"/>
          <w:color w:val="000000"/>
          <w:kern w:val="0"/>
          <w:sz w:val="27"/>
          <w:szCs w:val="27"/>
        </w:rPr>
        <w:br/>
        <w:t xml:space="preserve">　　（九）引导产业集聚发展。加强农村产业融合发展与城乡规划、土地利用总体规划有效衔接，完善县域产业空间布局和功能定位。通过农村闲置宅基地整理、土地整治等新增的耕地和建设用地，优先用于农村产业融合发展。创建农业产业化示范基地和现代农业示范区，完善配套服务体系，形成农产品集散中心、物流配送中心和展销中心。扶持发展一乡（县）一业、一村一品，加快培育乡村手工艺品和农村土特产品品牌，推进农产品品牌建设。依托国家农业科技园区、农业科研院校和“星创天地”，培育农业科技创新应用企业集群。（发展改革委、农业部、国土资源部、科技部、工业和信息化部、教育部、财政部、商务部、工商总局等负责）</w:t>
      </w:r>
      <w:r w:rsidRPr="009019B6">
        <w:rPr>
          <w:rFonts w:ascii="微软雅黑" w:eastAsia="微软雅黑" w:hAnsi="微软雅黑" w:cs="宋体" w:hint="eastAsia"/>
          <w:color w:val="000000"/>
          <w:kern w:val="0"/>
          <w:sz w:val="27"/>
          <w:szCs w:val="27"/>
        </w:rPr>
        <w:br/>
        <w:t xml:space="preserve">　　三、培育多元化农村产业融合主体</w:t>
      </w:r>
      <w:r w:rsidRPr="009019B6">
        <w:rPr>
          <w:rFonts w:ascii="微软雅黑" w:eastAsia="微软雅黑" w:hAnsi="微软雅黑" w:cs="宋体" w:hint="eastAsia"/>
          <w:color w:val="000000"/>
          <w:kern w:val="0"/>
          <w:sz w:val="27"/>
          <w:szCs w:val="27"/>
        </w:rPr>
        <w:br/>
        <w:t xml:space="preserve">　　（十）强化农民合作社和家庭农场基础作用。鼓励农民合作社发展农产品加工、销售，拓展合作领域和服务内容。鼓励家庭农场开展农产品直销。引导大中专毕业生、新型职业农民、务工经商返乡人员领办农</w:t>
      </w:r>
      <w:r w:rsidRPr="009019B6">
        <w:rPr>
          <w:rFonts w:ascii="微软雅黑" w:eastAsia="微软雅黑" w:hAnsi="微软雅黑" w:cs="宋体" w:hint="eastAsia"/>
          <w:color w:val="000000"/>
          <w:kern w:val="0"/>
          <w:sz w:val="27"/>
          <w:szCs w:val="27"/>
        </w:rPr>
        <w:lastRenderedPageBreak/>
        <w:t>民合作社、兴办家庭农场、开展乡村旅游等经营活动。支持符合条件的农民合作社、家庭农场优先承担政府涉农项目，落实财政项目资金直接投向农民合作社、形成资产转交合作社成员持有和管护政策。开展农民合作社创新试点，引导发展农民合作社联合社。引导土地流向农民合作社和家庭农场。（农业部牵头负责）</w:t>
      </w:r>
      <w:r w:rsidRPr="009019B6">
        <w:rPr>
          <w:rFonts w:ascii="微软雅黑" w:eastAsia="微软雅黑" w:hAnsi="微软雅黑" w:cs="宋体" w:hint="eastAsia"/>
          <w:color w:val="000000"/>
          <w:kern w:val="0"/>
          <w:sz w:val="27"/>
          <w:szCs w:val="27"/>
        </w:rPr>
        <w:br/>
        <w:t xml:space="preserve">　　（十一）支持龙头企业发挥引领示范作用。培育壮大农业产业化龙头企业和林业重点龙头企业，引导其重点发展农产品加工流通、电子商务和农业社会化服务，并通过直接投资、参股经营、签订长期合同等方式，建设标准化和规模化的原料生产基地，带动农户和农民合作社发展适度规模经营。龙头企业要优化要素资源配置，加强产业链建设和供应链管理，提高产品附加值。鼓励龙头企业建设现代物流体系，健全农产品营销网络。充分发挥农垦企业资金、技术、品牌和管理优势，培育具有国际竞争力的大型现代农业企业集团，推进垦地合作共建，示范带动农村产业融合发展。（农业部、林业局牵头负责）</w:t>
      </w:r>
      <w:r w:rsidRPr="009019B6">
        <w:rPr>
          <w:rFonts w:ascii="微软雅黑" w:eastAsia="微软雅黑" w:hAnsi="微软雅黑" w:cs="宋体" w:hint="eastAsia"/>
          <w:color w:val="000000"/>
          <w:kern w:val="0"/>
          <w:sz w:val="27"/>
          <w:szCs w:val="27"/>
        </w:rPr>
        <w:br/>
        <w:t xml:space="preserve">　　（十二）发挥供销合作社综合服务优势。推动供销合作社与新型农业经营主体有效对接，培育大型农产品加工、流通企业。健全供销合作社经营网络，支持流通方式和业态创新，搭建全国性和区域性电子商务平台。拓展供销合作社经营领域，由主要从事流通服务向全程农业社会化服务延伸、向全方位城乡社区服务拓展，在农资供应、农产品流通、农村服务等重点领域和环节为农民提供便利实惠、安全优质的服务。（供销合作总社牵头负责）</w:t>
      </w:r>
      <w:r w:rsidRPr="009019B6">
        <w:rPr>
          <w:rFonts w:ascii="微软雅黑" w:eastAsia="微软雅黑" w:hAnsi="微软雅黑" w:cs="宋体" w:hint="eastAsia"/>
          <w:color w:val="000000"/>
          <w:kern w:val="0"/>
          <w:sz w:val="27"/>
          <w:szCs w:val="27"/>
        </w:rPr>
        <w:br/>
        <w:t xml:space="preserve">　　（十三）积极发展行业协会和产业联盟。充分发挥行业协会自律、</w:t>
      </w:r>
      <w:r w:rsidRPr="009019B6">
        <w:rPr>
          <w:rFonts w:ascii="微软雅黑" w:eastAsia="微软雅黑" w:hAnsi="微软雅黑" w:cs="宋体" w:hint="eastAsia"/>
          <w:color w:val="000000"/>
          <w:kern w:val="0"/>
          <w:sz w:val="27"/>
          <w:szCs w:val="27"/>
        </w:rPr>
        <w:lastRenderedPageBreak/>
        <w:t>教育培训和品牌营销作用，开展标准制订、商业模式推介等工作。在质量检测、信用评估等领域，将适合行业协会承担的职能移交行业协会。鼓励龙头企业、农民合作社、涉农院校和科研院所成立产业联盟，支持联盟成员通过共同研发、科技成果产业化、融资拆借、共有品牌、统一营销等方式，实现信息互通、优势互补。（农业部牵头负责）</w:t>
      </w:r>
      <w:r w:rsidRPr="009019B6">
        <w:rPr>
          <w:rFonts w:ascii="微软雅黑" w:eastAsia="微软雅黑" w:hAnsi="微软雅黑" w:cs="宋体" w:hint="eastAsia"/>
          <w:color w:val="000000"/>
          <w:kern w:val="0"/>
          <w:sz w:val="27"/>
          <w:szCs w:val="27"/>
        </w:rPr>
        <w:br/>
        <w:t xml:space="preserve">　　（十四）鼓励社会资本投入。优化农村市场环境，鼓励各类社会资本投向农业农村，发展适合企业化经营的现代种养业，利用农村“四荒”（荒山、荒沟、荒丘、荒滩）资源发展多种经营，开展农业环境治理、农田水利建设和生态修复。国家相关扶持政策对各类社会资本投资项目同等对待。对社会资本投资建设连片面积达到一定规模的高标准农田、生态公益林等，允许在符合土地管理法律法规和土地利用总体规划、依法办理建设用地审批手续、坚持节约集约用地的前提下，利用一定比例的土地开展观光和休闲度假旅游、加工流通等经营活动。能够商业化运营的农村服务业，要向社会资本全面开放。积极引导外商投资农村产业融合发展。（发展改革委、财政部、国土资源部、水利部、农业部、商务部、林业局、旅游局等负责）</w:t>
      </w:r>
      <w:r w:rsidRPr="009019B6">
        <w:rPr>
          <w:rFonts w:ascii="微软雅黑" w:eastAsia="微软雅黑" w:hAnsi="微软雅黑" w:cs="宋体" w:hint="eastAsia"/>
          <w:color w:val="000000"/>
          <w:kern w:val="0"/>
          <w:sz w:val="27"/>
          <w:szCs w:val="27"/>
        </w:rPr>
        <w:br/>
        <w:t xml:space="preserve">　　四、建立多形式利益联结机制</w:t>
      </w:r>
      <w:r w:rsidRPr="009019B6">
        <w:rPr>
          <w:rFonts w:ascii="微软雅黑" w:eastAsia="微软雅黑" w:hAnsi="微软雅黑" w:cs="宋体" w:hint="eastAsia"/>
          <w:color w:val="000000"/>
          <w:kern w:val="0"/>
          <w:sz w:val="27"/>
          <w:szCs w:val="27"/>
        </w:rPr>
        <w:br/>
        <w:t xml:space="preserve">　　（十五）创新发展订单农业。引导龙头企业在平等互利基础上，与农户、家庭农场、农民合作社签订农产品购销合同，合理确定收购价格，形成稳定购销关系。支持龙头企业为农户、家庭农场、农民合作社提供贷款担保，资助订单农户参加农业保险。鼓励农产品产销合作，建立技术开发、生产标准和质量追溯体系，设立共同营销基金，打造联合品牌，</w:t>
      </w:r>
      <w:r w:rsidRPr="009019B6">
        <w:rPr>
          <w:rFonts w:ascii="微软雅黑" w:eastAsia="微软雅黑" w:hAnsi="微软雅黑" w:cs="宋体" w:hint="eastAsia"/>
          <w:color w:val="000000"/>
          <w:kern w:val="0"/>
          <w:sz w:val="27"/>
          <w:szCs w:val="27"/>
        </w:rPr>
        <w:lastRenderedPageBreak/>
        <w:t>实现利益共享。（农业部、发展改革委、商务部、工商总局、银监会、保监会等负责）</w:t>
      </w:r>
      <w:r w:rsidRPr="009019B6">
        <w:rPr>
          <w:rFonts w:ascii="微软雅黑" w:eastAsia="微软雅黑" w:hAnsi="微软雅黑" w:cs="宋体" w:hint="eastAsia"/>
          <w:color w:val="000000"/>
          <w:kern w:val="0"/>
          <w:sz w:val="27"/>
          <w:szCs w:val="27"/>
        </w:rPr>
        <w:br/>
        <w:t xml:space="preserve">　　（十六）鼓励发展股份合作。加快推进农村集体产权制度改革，将土地承包经营权确权登记颁证到户、集体经营性资产折股量化到户。地方人民政府可探索制订发布本行政区域内农用地基准地价，为农户土地入股或流转提供参考依据。以土地、林地为基础的各种形式合作，凡是享受财政投入或政策支持的承包经营者均应成为股东方，并采取“保底收益+按股分红”等形式，让农户分享加工、销售环节收益。探索形成以农户承包土地经营权入股的股份合作社、股份合作制企业利润分配机制，切实保障土地经营权入股部分的收益。（农业部、发展改革委、财政部、国土资源部、林业局等负责）</w:t>
      </w:r>
      <w:r w:rsidRPr="009019B6">
        <w:rPr>
          <w:rFonts w:ascii="微软雅黑" w:eastAsia="微软雅黑" w:hAnsi="微软雅黑" w:cs="宋体" w:hint="eastAsia"/>
          <w:color w:val="000000"/>
          <w:kern w:val="0"/>
          <w:sz w:val="27"/>
          <w:szCs w:val="27"/>
        </w:rPr>
        <w:br/>
        <w:t xml:space="preserve">　　（十七）强化工商企业社会责任。鼓励从事农村产业融合发展的工商企业优先聘用流转出土地的农民，为其提供技能培训、就业岗位和社会保障。引导工商企业发挥自身优势，辐射带动农户扩大生产经营规模、提高管理水平。完善龙头企业认定监测制度，实行动态管理，逐步建立社会责任报告制度。强化龙头企业联农带农激励机制，国家相关扶持政策与利益联结机制相挂钩。（农业部、发展改革委、财政部等负责）</w:t>
      </w:r>
      <w:r w:rsidRPr="009019B6">
        <w:rPr>
          <w:rFonts w:ascii="微软雅黑" w:eastAsia="微软雅黑" w:hAnsi="微软雅黑" w:cs="宋体" w:hint="eastAsia"/>
          <w:color w:val="000000"/>
          <w:kern w:val="0"/>
          <w:sz w:val="27"/>
          <w:szCs w:val="27"/>
        </w:rPr>
        <w:br/>
        <w:t xml:space="preserve">　　（十八）健全风险防范机制。稳定土地流转关系，推广实物计租货币结算、租金动态调整等计价方式。规范工商资本租赁农地行为，建立农户承包土地经营权流转分级备案制度。引导各地建立土地流转、订单农业等风险保障金制度，并探索与农业保险、担保相结合，提高风险防范能力。增强新型农业经营主体契约意识，鼓励制定适合农村特点的信</w:t>
      </w:r>
      <w:r w:rsidRPr="009019B6">
        <w:rPr>
          <w:rFonts w:ascii="微软雅黑" w:eastAsia="微软雅黑" w:hAnsi="微软雅黑" w:cs="宋体" w:hint="eastAsia"/>
          <w:color w:val="000000"/>
          <w:kern w:val="0"/>
          <w:sz w:val="27"/>
          <w:szCs w:val="27"/>
        </w:rPr>
        <w:lastRenderedPageBreak/>
        <w:t>用评级方法体系。制定和推行涉农合同示范文本，依法打击涉农合同欺诈违法行为。加强土地流转、订单等合同履约监督，建立健全纠纷调解仲裁体系，保护双方合法权益。（农业部、发展改革委、财政部、人民银行、工商总局等负责）</w:t>
      </w:r>
      <w:r w:rsidRPr="009019B6">
        <w:rPr>
          <w:rFonts w:ascii="微软雅黑" w:eastAsia="微软雅黑" w:hAnsi="微软雅黑" w:cs="宋体" w:hint="eastAsia"/>
          <w:color w:val="000000"/>
          <w:kern w:val="0"/>
          <w:sz w:val="27"/>
          <w:szCs w:val="27"/>
        </w:rPr>
        <w:br/>
        <w:t xml:space="preserve">　　五、完善多渠道农村产业融合服务</w:t>
      </w:r>
      <w:r w:rsidRPr="009019B6">
        <w:rPr>
          <w:rFonts w:ascii="微软雅黑" w:eastAsia="微软雅黑" w:hAnsi="微软雅黑" w:cs="宋体" w:hint="eastAsia"/>
          <w:color w:val="000000"/>
          <w:kern w:val="0"/>
          <w:sz w:val="27"/>
          <w:szCs w:val="27"/>
        </w:rPr>
        <w:br/>
        <w:t xml:space="preserve">　　（十九）搭建公共服务平台。以县（市、区）为基础，搭建农村综合性信息化服务平台，提供电子商务、乡村旅游、农业物联网、价格信息、公共营销等服务。优化农村创业孵化平台，建立在线技术支持体系，提供设计、创意、技术、市场、融资等定制化解决方案及其他创业服务。建设农村产权流转交易市场，引导其健康发展。采取政府购买、资助、奖励等形式，引导科研机构、行业协会、龙头企业等提供公共服务。（农业部、发展改革委、科技部、工业和信息化部、商务部等负责）</w:t>
      </w:r>
      <w:r w:rsidRPr="009019B6">
        <w:rPr>
          <w:rFonts w:ascii="微软雅黑" w:eastAsia="微软雅黑" w:hAnsi="微软雅黑" w:cs="宋体" w:hint="eastAsia"/>
          <w:color w:val="000000"/>
          <w:kern w:val="0"/>
          <w:sz w:val="27"/>
          <w:szCs w:val="27"/>
        </w:rPr>
        <w:br/>
        <w:t xml:space="preserve">　　（二十）创新农村金融服务。发展农村普惠金融，优化县域金融机构网点布局，推动农村基础金融服务全覆盖。综合运用奖励、补助、税收优惠等政策，鼓励金融机构与新型农业经营主体建立紧密合作关系，推广产业链金融模式，加大对农村产业融合发展的信贷支持。推进粮食生产规模经营主体营销贷款试点，稳妥有序开展农村承包土地的经营权、农民住房财产权抵押贷款试点。坚持社员制、封闭性、民主管理原则，发展新型农村合作金融，稳妥开展农民合作社内部资金互助试点。鼓励发展政府支持的“三农”融资担保和再担保机构，为农业经营主体提供担保服务。鼓励开展支持农村产业融合发展的融资租赁业务。积极推动涉农企业对接多层次资本市场，支持符合条件的涉农企业通过发行债券、</w:t>
      </w:r>
      <w:r w:rsidRPr="009019B6">
        <w:rPr>
          <w:rFonts w:ascii="微软雅黑" w:eastAsia="微软雅黑" w:hAnsi="微软雅黑" w:cs="宋体" w:hint="eastAsia"/>
          <w:color w:val="000000"/>
          <w:kern w:val="0"/>
          <w:sz w:val="27"/>
          <w:szCs w:val="27"/>
        </w:rPr>
        <w:lastRenderedPageBreak/>
        <w:t>资产证券化等方式融资。加强涉农信贷与保险合作，拓宽农业保险保单质押范围。（人民银行、财政部、银监会、证监会、保监会、农业部、发展改革委、税务总局等负责）</w:t>
      </w:r>
      <w:r w:rsidRPr="009019B6">
        <w:rPr>
          <w:rFonts w:ascii="微软雅黑" w:eastAsia="微软雅黑" w:hAnsi="微软雅黑" w:cs="宋体" w:hint="eastAsia"/>
          <w:color w:val="000000"/>
          <w:kern w:val="0"/>
          <w:sz w:val="27"/>
          <w:szCs w:val="27"/>
        </w:rPr>
        <w:br/>
        <w:t xml:space="preserve">　　（二十一）强化人才和科技支撑。加快发展农村教育特别是职业教育，加大农村实用人才和新型职业农民培育力度。加大政策扶持力度，引导各类科技人员、大中专毕业生等到农村创业，实施鼓励农民工等人员返乡创业三年行动计划和现代青年农场主计划，开展百万乡村旅游创客行动。鼓励科研人员到农村合作社、农业企业任职兼职，完善知识产权入股、参与分红等激励机制。支持农业企业、科研机构等开展产业融合发展的科技创新，积极开发农产品加工贮藏、分级包装等新技术。（教育部、科技部、农业部、人力资源社会保障部、发展改革委、旅游局等负责）</w:t>
      </w:r>
      <w:r w:rsidRPr="009019B6">
        <w:rPr>
          <w:rFonts w:ascii="微软雅黑" w:eastAsia="微软雅黑" w:hAnsi="微软雅黑" w:cs="宋体" w:hint="eastAsia"/>
          <w:color w:val="000000"/>
          <w:kern w:val="0"/>
          <w:sz w:val="27"/>
          <w:szCs w:val="27"/>
        </w:rPr>
        <w:br/>
        <w:t xml:space="preserve">　　（二十二）改善农业农村基础设施条件。统筹实施全国高标准农田建设总体规划，继续加强农村土地整治和农田水利基础设施建设，改造提升中低产田。加快完善农村水、电、路、通信等基础设施。加强农村环境整治和生态保护，建设持续健康和环境友好的新农村。统筹规划建设农村物流设施，逐步健全以县、乡、村三级物流节点为支撑的农村物流网络体系。完善休闲农业和乡村旅游道路、供电、供水、停车场、观景台、游客接待中心等配套设施。（发展改革委、财政部、国土资源部、水利部、交通运输部、工业和信息化部、农业部、商务部、旅游局、能源局等负责）</w:t>
      </w:r>
      <w:r w:rsidRPr="009019B6">
        <w:rPr>
          <w:rFonts w:ascii="微软雅黑" w:eastAsia="微软雅黑" w:hAnsi="微软雅黑" w:cs="宋体" w:hint="eastAsia"/>
          <w:color w:val="000000"/>
          <w:kern w:val="0"/>
          <w:sz w:val="27"/>
          <w:szCs w:val="27"/>
        </w:rPr>
        <w:br/>
        <w:t xml:space="preserve">　　（二十三）支持贫困地区农村产业融合发展。支持贫困地区立足当</w:t>
      </w:r>
      <w:r w:rsidRPr="009019B6">
        <w:rPr>
          <w:rFonts w:ascii="微软雅黑" w:eastAsia="微软雅黑" w:hAnsi="微软雅黑" w:cs="宋体" w:hint="eastAsia"/>
          <w:color w:val="000000"/>
          <w:kern w:val="0"/>
          <w:sz w:val="27"/>
          <w:szCs w:val="27"/>
        </w:rPr>
        <w:lastRenderedPageBreak/>
        <w:t>地资源优势，发展特色种养业、农产品加工业和乡村旅游、电子商务等农村服务业，实施符合当地条件、适应市场需求的农村产业融合项目，推进精准扶贫、精准脱贫，相关扶持资金向贫困地区倾斜。鼓励经济发达地区与贫困地区开展农村产业融合发展合作，支持企事业单位、社会组织和个人投资贫困地区农村产业融合项目。（发展改革委、扶贫办、农业部、商务部、旅游局等负责）</w:t>
      </w:r>
      <w:r w:rsidRPr="009019B6">
        <w:rPr>
          <w:rFonts w:ascii="微软雅黑" w:eastAsia="微软雅黑" w:hAnsi="微软雅黑" w:cs="宋体" w:hint="eastAsia"/>
          <w:color w:val="000000"/>
          <w:kern w:val="0"/>
          <w:sz w:val="27"/>
          <w:szCs w:val="27"/>
        </w:rPr>
        <w:br/>
        <w:t xml:space="preserve">　　六、健全农村产业融合推进机制</w:t>
      </w:r>
      <w:r w:rsidRPr="009019B6">
        <w:rPr>
          <w:rFonts w:ascii="微软雅黑" w:eastAsia="微软雅黑" w:hAnsi="微软雅黑" w:cs="宋体" w:hint="eastAsia"/>
          <w:color w:val="000000"/>
          <w:kern w:val="0"/>
          <w:sz w:val="27"/>
          <w:szCs w:val="27"/>
        </w:rPr>
        <w:br/>
        <w:t xml:space="preserve">　　（二十四）加大财税支持力度。支持地方扩大农产品加工企业进项税额核定扣除试点行业范围，完善农产品初加工所得税优惠目录。落实小微企业税收扶持政策，积极支持“互联网+现代农业”等新型业态和商业模式发展。统筹安排财政涉农资金，加大对农村产业融合投入，中央财政在现有资金渠道内安排一部分资金支持农村产业融合发展试点，中央预算内投资、农业综合开发资金等向农村产业融合发展项目倾斜。创新政府涉农资金使用和管理方式，研究通过政府和社会资本合作、设立基金、贷款贴息等方式，带动社会资本投向农村产业融合领域。（财政部、发展改革委、税务总局等负责）</w:t>
      </w:r>
      <w:r w:rsidRPr="009019B6">
        <w:rPr>
          <w:rFonts w:ascii="微软雅黑" w:eastAsia="微软雅黑" w:hAnsi="微软雅黑" w:cs="宋体" w:hint="eastAsia"/>
          <w:color w:val="000000"/>
          <w:kern w:val="0"/>
          <w:sz w:val="27"/>
          <w:szCs w:val="27"/>
        </w:rPr>
        <w:br/>
        <w:t xml:space="preserve">　　（二十五）开展试点示范。围绕产业融合模式、主体培育、政策创新和投融资机制，开展农村产业融合发展试点示范，积极探索和总结成功的做法，形成可复制、可推广的经验，促进农村产业融合加快发展。（发展改革委、财政部、农业部、工业和信息化部、商务部、旅游局等负责）</w:t>
      </w:r>
      <w:r w:rsidRPr="009019B6">
        <w:rPr>
          <w:rFonts w:ascii="微软雅黑" w:eastAsia="微软雅黑" w:hAnsi="微软雅黑" w:cs="宋体" w:hint="eastAsia"/>
          <w:color w:val="000000"/>
          <w:kern w:val="0"/>
          <w:sz w:val="27"/>
          <w:szCs w:val="27"/>
        </w:rPr>
        <w:br/>
        <w:t xml:space="preserve">　　（二十六）落实地方责任。地方各级人民政府要切实加强组织领导，</w:t>
      </w:r>
      <w:r w:rsidRPr="009019B6">
        <w:rPr>
          <w:rFonts w:ascii="微软雅黑" w:eastAsia="微软雅黑" w:hAnsi="微软雅黑" w:cs="宋体" w:hint="eastAsia"/>
          <w:color w:val="000000"/>
          <w:kern w:val="0"/>
          <w:sz w:val="27"/>
          <w:szCs w:val="27"/>
        </w:rPr>
        <w:lastRenderedPageBreak/>
        <w:t>把推进农村产业融合发展摆上重要议事日程，纳入经济社会发展总体规划和年度计划；要创新和完善乡村治理机制，加强分类指导，因地制宜探索融合发展模式。县级人民政府要强化主体责任，制定具体实施方案，引导资金、技术、人才等要素向农村产业融合集聚。（地方人民政府负责）</w:t>
      </w:r>
      <w:r w:rsidRPr="009019B6">
        <w:rPr>
          <w:rFonts w:ascii="微软雅黑" w:eastAsia="微软雅黑" w:hAnsi="微软雅黑" w:cs="宋体" w:hint="eastAsia"/>
          <w:color w:val="000000"/>
          <w:kern w:val="0"/>
          <w:sz w:val="27"/>
          <w:szCs w:val="27"/>
        </w:rPr>
        <w:br/>
        <w:t xml:space="preserve">　　（二十七）强化部门协作。各有关部门要根据本意见精神，抓紧制定和完善相关规划、政策措施，密切协作配合，确保各项任务落实到位。发展改革委要会同有关部门对本意见落实情况进行跟踪分析和评估，每年将工作进展情况报告国务院。（发展改革委牵头负责）</w:t>
      </w:r>
    </w:p>
    <w:p w:rsidR="009019B6" w:rsidRPr="009019B6" w:rsidRDefault="009019B6" w:rsidP="009019B6">
      <w:pPr>
        <w:widowControl/>
        <w:shd w:val="clear" w:color="auto" w:fill="FFFFFF"/>
        <w:jc w:val="left"/>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9019B6">
        <w:rPr>
          <w:rFonts w:ascii="微软雅黑" w:eastAsia="微软雅黑" w:hAnsi="微软雅黑" w:cs="宋体" w:hint="eastAsia"/>
          <w:color w:val="000000"/>
          <w:kern w:val="0"/>
          <w:sz w:val="27"/>
          <w:szCs w:val="27"/>
        </w:rPr>
        <w:t>国务院办公厅</w:t>
      </w:r>
      <w:r w:rsidRPr="009019B6">
        <w:rPr>
          <w:rFonts w:ascii="微软雅黑" w:eastAsia="微软雅黑" w:hAnsi="微软雅黑" w:cs="宋体" w:hint="eastAsia"/>
          <w:color w:val="000000"/>
          <w:kern w:val="0"/>
          <w:sz w:val="27"/>
          <w:szCs w:val="27"/>
        </w:rPr>
        <w:br/>
      </w:r>
      <w:r>
        <w:rPr>
          <w:rFonts w:ascii="微软雅黑" w:eastAsia="微软雅黑" w:hAnsi="微软雅黑" w:cs="宋体" w:hint="eastAsia"/>
          <w:color w:val="000000"/>
          <w:kern w:val="0"/>
          <w:sz w:val="27"/>
          <w:szCs w:val="27"/>
        </w:rPr>
        <w:t xml:space="preserve">　　　　　　　　　　　　　　　　　　　　　　</w:t>
      </w:r>
      <w:r w:rsidRPr="009019B6">
        <w:rPr>
          <w:rFonts w:ascii="微软雅黑" w:eastAsia="微软雅黑" w:hAnsi="微软雅黑" w:cs="宋体" w:hint="eastAsia"/>
          <w:color w:val="000000"/>
          <w:kern w:val="0"/>
          <w:sz w:val="27"/>
          <w:szCs w:val="27"/>
        </w:rPr>
        <w:t>2015年12月30日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2"/>
        <w:jc w:val="center"/>
      </w:pPr>
      <w:bookmarkStart w:id="131" w:name="_Toc12864282"/>
      <w:r>
        <w:rPr>
          <w:rFonts w:hint="eastAsia"/>
        </w:rPr>
        <w:t>4</w:t>
      </w:r>
      <w:r>
        <w:rPr>
          <w:rFonts w:hint="eastAsia"/>
        </w:rPr>
        <w:t>、产业园区</w:t>
      </w:r>
      <w:bookmarkEnd w:id="131"/>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32" w:name="_Toc12864283"/>
      <w:r w:rsidRPr="009019B6">
        <w:rPr>
          <w:rFonts w:hint="eastAsia"/>
          <w:sz w:val="30"/>
          <w:szCs w:val="30"/>
        </w:rPr>
        <w:lastRenderedPageBreak/>
        <w:t>关于支持“飞地经济”发展的指导意见（发改地区〔</w:t>
      </w:r>
      <w:r w:rsidRPr="009019B6">
        <w:rPr>
          <w:rFonts w:hint="eastAsia"/>
          <w:sz w:val="30"/>
          <w:szCs w:val="30"/>
        </w:rPr>
        <w:t>2017</w:t>
      </w:r>
      <w:r w:rsidRPr="009019B6">
        <w:rPr>
          <w:rFonts w:hint="eastAsia"/>
          <w:sz w:val="30"/>
          <w:szCs w:val="30"/>
        </w:rPr>
        <w:t>〕</w:t>
      </w:r>
      <w:r w:rsidRPr="009019B6">
        <w:rPr>
          <w:rFonts w:hint="eastAsia"/>
          <w:sz w:val="30"/>
          <w:szCs w:val="30"/>
        </w:rPr>
        <w:t>922</w:t>
      </w:r>
      <w:r w:rsidRPr="009019B6">
        <w:rPr>
          <w:rFonts w:hint="eastAsia"/>
          <w:sz w:val="30"/>
          <w:szCs w:val="30"/>
        </w:rPr>
        <w:t>号）</w:t>
      </w:r>
      <w:bookmarkEnd w:id="132"/>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各省、自治区、直辖市发展改革委（区域合作主管部门）、国土资源厅（局）、环境保护厅（局）、商务厅（局）、工商局（市场监管部门）、质监局、统计局，新疆生产建设兵团发展改革委、国土资源局、环保局、商务局、质监分局、统计局，海关总署广东分署、天津、上海特派办、各直属海关，各出入境检验检疫局，国家统计局各调查总队：</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近年来，有关省（区、市）打破行政区划界限，创新跨区域合作模式，探索政府引导、企业参与、优势互补、园区共建、利益共享的“飞地经济”合作，取得了积极成效，同时也面临一些问题和制约。为贯彻落实国家“十三五”规划《纲要》等有关文件要求，支持“飞地经济”发展，现提出以下意见。</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一、总体要求</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一）指导思想。全面贯彻党的十八大和十八届三中、四中、五中、六中全会精神，深入贯彻落实习近平总书记系列重要讲话精神和治国理政新理念新思想新战略，按照党中央、国务院决策部署，牢固树立和贯彻落实新发展理念，深入实施区域发展总体战略，服务“一带一路”建设、京津冀协同发展、长江经济带发展三大战略，创新“飞地经济”合作机制，发挥不同地区比较优势，优化资源配置，强化资源集约节约利用，提升市场化运作水平，完善发展成果分享机制，加快统一市场建设，促进要素自由有序流动，为推进区域协同发展做出新贡献。</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（二）基本原则。</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 xml:space="preserve">　　政府引导、市场运作。政府加强统筹协调，完善组织管理架构，健全议事协调机制，加强跨区域政策衔接，提高公共服务质量。发挥“飞地经济”在对口支援、帮扶、协作中的积极作用。遵循市场规律，引导企业积极参与，发挥行业协会作用，着力提升合作园区开发建设、经营管理的市场化和专业化水平。</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优势互补、合作共赢。充分发挥各地区比较优势，促进土地、技术、管理等资源优势互补和优化配置，共同参与园区建设和运营管理，建立合理的成本分担和利益共享机制，促进合作各方良性互动、互利共赢。</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平等协商、权责一致。强化合作发展理念，从合作大局和长远发展出发，着力扩大发展成果，充分调动合作各方积极性，共同协商规划建设、运营管理、成本分担、利益分配等事项，实现权利与责任对等。</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改革创新、先行探索。充分尊重基层首创精神，创新“飞地经济”合作机制，积极探索主体结构、开发建设、运营管理、利益分配等方面的新模式，有条件地创新政策供给，力争在重点领域和关键环节取得突破。</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二、完善“飞地经济”合作机制</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（三）支持“飞地经济”合作方共同研究商定规划建设、运营管理、利益分配等事项，签订规范、详细、可操作的合作协议，做到分工明确、权责对等、共建共享。</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（四）支持合作方创新合作模式，允许以资金、技术成果、品牌、管理等多种形式参与合作；如各方共同组建市场化运营主体的，应符合《公司法》等相关法律规定。支持各方合理分担园区建设运营成本，征</w:t>
      </w:r>
      <w:r w:rsidRPr="009019B6">
        <w:rPr>
          <w:rFonts w:ascii="微软雅黑" w:eastAsia="微软雅黑" w:hAnsi="微软雅黑" w:cs="宋体" w:hint="eastAsia"/>
          <w:color w:val="000000"/>
          <w:kern w:val="0"/>
          <w:sz w:val="27"/>
          <w:szCs w:val="27"/>
        </w:rPr>
        <w:lastRenderedPageBreak/>
        <w:t>地拆迁、基础设施建设、招商引资、社会管理、环境保护等事项产生的投入和费用，由合作方根据协议商定分摊比例。</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五）支持合作方建立常态化的议事协调机制，加强在产业发展、功能布局等方面的政策对接，及时研究解决园区建设、项目引进和运营管理中的问题。支持合作方共同建立园区管理委员会，选派干部到园区任职、挂职，不断创新管理体制，完善组织架构。</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（六）请园区所在地政府提供相关公共服务和保障。合作各方要做好政策衔接和统筹协调，促进跨区域转移项目落地和正常运营。</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七）鼓励按照市场化原则和方式开展“飞地经济”合作。鼓励合作方共同设立投融资公司，采取政府和社会资本合作（PPP）等模式，吸引社会资本参与园区开发和运营管理。提高园区专业化运行水平，支持通过特许经营、政府购买服务等方式，将园区部分或全部事务委托给第三方运营管理，条件成熟地区可探索园区管理与日常运营相分离。</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三、强化资源高效集约节约利用</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八）园区建设用地原则上使用所在地土地指标，原则上应依托现有各类开发区（园区）开展“飞地经济”合作，如涉及征地拆迁、土地整理等事务，相关工作由所在地政府负责。加强耕地资源保护，防止在园区建设过程中违规侵占永久基本农田。充分利用未利用地资源，加强未利用地的生态保护和开发利用。加强土地集约节约利用，制定相关行业建设用地控制标准，提高土地投资强度，设置合理的建筑密度和容积率，鼓励和推广多层厂房建设。</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 xml:space="preserve">　　（九）强化绿色发展理念，鼓励建设绿色园区，推进节能、节水、减排和资源综合利用，严格执行能耗、水耗、环保等政策，禁止不符合国家和地方产业政策的项目入驻园区，避免低水平重复建设。</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围绕改善环境质量目标，依法开展规划环评并优化规划编制和实施。园区环境质量实行属地化管理，由所在地政府负责，园区环境污染防治监管、污染减排和达标排放监管、排污许可证核发监管、环境执法等各项环境管理事项由所在地环保部门负责。</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四、规范指标统计口径和方法</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（十一）在统计经济社会发展情况时，园区各项指标由所在地政府统计部门按现行统计制度和口径进行统计、核算和发布。</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二）在政府内部考核时，对于地区生产总值、工业总产值、固定资产投资额、进出口额、外商投资额等经济指标，允许合作方综合考虑权责关系和出资比例，以及能源消费、污染物排放等资源环境因素，进行协商划分，仅作专门用途供内部使用。园区污染物排放等指标应按照属地管理原则由所在地政府有关部门按现行制度和口径进行统计考核。</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五、加快统一市场建设</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（十三）支持合作方优化行政审批流程，逐步探索行政许可跨区域互认，推进转移企业工商登记协调衔接。</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（十四）支持合作方开展质检、通关、市场执法等领域的标准对接和结果互认。</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六、支持在各类对口支援、帮扶、协作中开展“飞地经济”合作</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 xml:space="preserve">　　（十五）在对口支援（对口帮扶、对口协作）中，支持援受双方发展“飞地经济”，积极发挥市场机制，探索互惠互利的合作模式。鼓励援助方输出成熟的园区管理经验，选派干部到园区任职、挂职。</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（十六）在东西部扶贫协作中，支持结对双方共建飞地园区，加强产业合作，引导企业参与，促进产业转移，积极吸纳贫困地区劳动力就业。</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（十七）支持通过“飞地经济”模式，探索完善异地开发生态保护补偿机制，在生态受益区共建合作园区，健全保护区与受益区的利益分配机制。</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（十八）在推动长江经济带发展战略中，鼓励上海、江苏、浙江到长江中上游地区共建产业园区，共同拓展市场和发展空间。</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七、保障措施</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（十九）国家发展改革委会同有关部门加强对“飞地经济”发展的指导，帮助协调解决“飞地经济”发展中的重大问题。</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（二十）各省（区、市）和新疆生产建设兵团发展改革委（区域合作主管部门）会同有关部门加大对“飞地经济”发展的支持力度，遇到的新情况和新问题要及时报告。</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xml:space="preserve">　　（二十一）相关省（区、市）内部开展的“飞地经济”合作，可参照执行。</w:t>
      </w:r>
    </w:p>
    <w:p w:rsidR="009019B6" w:rsidRPr="009019B6" w:rsidRDefault="009019B6" w:rsidP="009019B6">
      <w:pPr>
        <w:widowControl/>
        <w:shd w:val="clear" w:color="auto" w:fill="EDEDED"/>
        <w:jc w:val="left"/>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 </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国家发展改革委</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国 土 资 源 部</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lastRenderedPageBreak/>
        <w:t>环 境 保 护 部</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商　　务　　部</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海　关　总　署</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工　商　总　局</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质　检　总　局</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统　　计　　局</w:t>
      </w:r>
    </w:p>
    <w:p w:rsidR="009019B6" w:rsidRPr="009019B6" w:rsidRDefault="009019B6" w:rsidP="009019B6">
      <w:pPr>
        <w:widowControl/>
        <w:shd w:val="clear" w:color="auto" w:fill="EDEDED"/>
        <w:jc w:val="center"/>
        <w:rPr>
          <w:rFonts w:ascii="微软雅黑" w:eastAsia="微软雅黑" w:hAnsi="微软雅黑" w:cs="宋体"/>
          <w:color w:val="000000"/>
          <w:kern w:val="0"/>
          <w:sz w:val="27"/>
          <w:szCs w:val="27"/>
        </w:rPr>
      </w:pPr>
      <w:r w:rsidRPr="009019B6">
        <w:rPr>
          <w:rFonts w:ascii="微软雅黑" w:eastAsia="微软雅黑" w:hAnsi="微软雅黑" w:cs="宋体" w:hint="eastAsia"/>
          <w:color w:val="000000"/>
          <w:kern w:val="0"/>
          <w:sz w:val="27"/>
          <w:szCs w:val="27"/>
        </w:rPr>
        <w:t>2017年5月12日</w:t>
      </w:r>
    </w:p>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 w:rsidR="009019B6" w:rsidRDefault="009019B6" w:rsidP="009019B6">
      <w:pPr>
        <w:pStyle w:val="3"/>
        <w:jc w:val="center"/>
        <w:rPr>
          <w:sz w:val="30"/>
          <w:szCs w:val="30"/>
        </w:rPr>
      </w:pPr>
      <w:bookmarkStart w:id="133" w:name="_Toc12864284"/>
      <w:r w:rsidRPr="009019B6">
        <w:rPr>
          <w:rFonts w:hint="eastAsia"/>
          <w:sz w:val="30"/>
          <w:szCs w:val="30"/>
        </w:rPr>
        <w:lastRenderedPageBreak/>
        <w:t>国家发展改革委关于印发</w:t>
      </w:r>
      <w:r w:rsidRPr="009019B6">
        <w:rPr>
          <w:rFonts w:hint="eastAsia"/>
          <w:sz w:val="30"/>
          <w:szCs w:val="30"/>
        </w:rPr>
        <w:t>2017</w:t>
      </w:r>
      <w:r w:rsidRPr="009019B6">
        <w:rPr>
          <w:rFonts w:hint="eastAsia"/>
          <w:sz w:val="30"/>
          <w:szCs w:val="30"/>
        </w:rPr>
        <w:t>年国家级新区体制机制创新工作要点的通知（发改地区〔</w:t>
      </w:r>
      <w:r w:rsidRPr="009019B6">
        <w:rPr>
          <w:rFonts w:hint="eastAsia"/>
          <w:sz w:val="30"/>
          <w:szCs w:val="30"/>
        </w:rPr>
        <w:t>2017</w:t>
      </w:r>
      <w:r w:rsidRPr="009019B6">
        <w:rPr>
          <w:rFonts w:hint="eastAsia"/>
          <w:sz w:val="30"/>
          <w:szCs w:val="30"/>
        </w:rPr>
        <w:t>〕</w:t>
      </w:r>
      <w:r w:rsidRPr="009019B6">
        <w:rPr>
          <w:rFonts w:hint="eastAsia"/>
          <w:sz w:val="30"/>
          <w:szCs w:val="30"/>
        </w:rPr>
        <w:t>583</w:t>
      </w:r>
      <w:r w:rsidRPr="009019B6">
        <w:rPr>
          <w:rFonts w:hint="eastAsia"/>
          <w:sz w:val="30"/>
          <w:szCs w:val="30"/>
        </w:rPr>
        <w:t>号）</w:t>
      </w:r>
      <w:bookmarkEnd w:id="133"/>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各国家级新区人民政府（管委会）、有关省（市）发展改革委：</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为促进国家级新区在深化改革创新和推动产业转型升级等方面深化探索，进一步提升发展质量和效益，多积累可复制可推广的经验，切实发挥辐射带动作用，经与有关方面沟通衔接，我委制定了《2017年国家级新区体制机制创新工作要点》（以下简称《要点》），现印发你们。</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各国家级新区要着眼于服务全国改革开放大局，立足既有工作基础，按照《要点》要求，研究制定具体实施方案，切实抓好组织实施，着力增创新优势、培育新动能、发展新经济，提升发展质量和效益，积极探索形成可复制可推广的经验。有关省（市）发展改革委要加强工作指导和支持，总结工作进展和经验，今年底前将有关整体情况报送我委。</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我委将会同有关部门对各国家级新区改革创新继续予以指导，帮助协调解决改革发展中的突出困难和问题，及时总结改革创新经验并上报国务院。</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附件：2017年国家级新区体制机制创新工作要点</w:t>
      </w:r>
    </w:p>
    <w:p w:rsidR="00F84C82" w:rsidRDefault="00F84C82" w:rsidP="00F84C82">
      <w:pPr>
        <w:pStyle w:val="a8"/>
        <w:shd w:val="clear" w:color="auto" w:fill="FFFFFF"/>
        <w:spacing w:before="0" w:beforeAutospacing="0" w:after="0" w:afterAutospacing="0" w:line="540" w:lineRule="atLeast"/>
        <w:ind w:firstLine="480"/>
        <w:jc w:val="right"/>
        <w:rPr>
          <w:rFonts w:ascii="微软雅黑" w:eastAsia="微软雅黑" w:hAnsi="微软雅黑"/>
          <w:color w:val="000000"/>
          <w:sz w:val="27"/>
          <w:szCs w:val="27"/>
        </w:rPr>
      </w:pPr>
      <w:r>
        <w:rPr>
          <w:rFonts w:ascii="微软雅黑" w:eastAsia="微软雅黑" w:hAnsi="微软雅黑" w:hint="eastAsia"/>
          <w:color w:val="000000"/>
          <w:sz w:val="27"/>
          <w:szCs w:val="27"/>
        </w:rPr>
        <w:t>国家发展改革委</w:t>
      </w:r>
    </w:p>
    <w:p w:rsidR="00F84C82" w:rsidRDefault="00F84C82" w:rsidP="00F84C82">
      <w:pPr>
        <w:pStyle w:val="a8"/>
        <w:shd w:val="clear" w:color="auto" w:fill="FFFFFF"/>
        <w:spacing w:before="0" w:beforeAutospacing="0" w:after="0" w:afterAutospacing="0" w:line="540" w:lineRule="atLeast"/>
        <w:ind w:firstLine="480"/>
        <w:jc w:val="right"/>
        <w:rPr>
          <w:rFonts w:ascii="微软雅黑" w:eastAsia="微软雅黑" w:hAnsi="微软雅黑"/>
          <w:color w:val="000000"/>
          <w:sz w:val="27"/>
          <w:szCs w:val="27"/>
        </w:rPr>
      </w:pPr>
      <w:r>
        <w:rPr>
          <w:rFonts w:ascii="微软雅黑" w:eastAsia="微软雅黑" w:hAnsi="微软雅黑" w:hint="eastAsia"/>
          <w:color w:val="000000"/>
          <w:sz w:val="27"/>
          <w:szCs w:val="27"/>
        </w:rPr>
        <w:t>2017年3月28日</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附件</w:t>
      </w:r>
    </w:p>
    <w:p w:rsidR="00F84C82" w:rsidRDefault="00F84C82" w:rsidP="00F84C82">
      <w:pPr>
        <w:pStyle w:val="a8"/>
        <w:shd w:val="clear" w:color="auto" w:fill="FFFFFF"/>
        <w:spacing w:before="0" w:beforeAutospacing="0" w:after="0" w:afterAutospacing="0" w:line="540" w:lineRule="atLeast"/>
        <w:ind w:firstLine="480"/>
        <w:jc w:val="center"/>
        <w:rPr>
          <w:rFonts w:ascii="微软雅黑" w:eastAsia="微软雅黑" w:hAnsi="微软雅黑"/>
          <w:color w:val="000000"/>
          <w:sz w:val="27"/>
          <w:szCs w:val="27"/>
        </w:rPr>
      </w:pPr>
      <w:r w:rsidRPr="00F84C82">
        <w:rPr>
          <w:rFonts w:hint="eastAsia"/>
          <w:b/>
          <w:bCs/>
        </w:rPr>
        <w:t>2017年国家级新区体制机制创新工作要点</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为落实国家“</w:t>
      </w:r>
      <w:hyperlink r:id="rId129" w:tgtFrame="_blank" w:history="1">
        <w:r w:rsidRPr="00F84C82">
          <w:rPr>
            <w:rFonts w:hint="eastAsia"/>
          </w:rPr>
          <w:t>十三五</w:t>
        </w:r>
      </w:hyperlink>
      <w:r>
        <w:rPr>
          <w:rFonts w:ascii="微软雅黑" w:eastAsia="微软雅黑" w:hAnsi="微软雅黑" w:hint="eastAsia"/>
          <w:color w:val="000000"/>
          <w:sz w:val="27"/>
          <w:szCs w:val="27"/>
        </w:rPr>
        <w:t>”规划纲要关于鼓励国家级新区体制机制和管理模式创新的部署，遵照李克强总理关于国家级新区创新发展的重要批示，促进国家级新区（以下简称“新区”）在深化改革创新和推动产业转型升级等方面深化探索，进一步提升发展质量和效益，多积累可复制可推广的经验，切实发挥辐射带动作用，制定本工作要点。</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2017年，各新区要在以习近平同志为核心的党中央领导下，全面贯彻党的十八大和十八届三中、四中、五中、六中全会精神，深入贯彻习近平总书记系列重要讲话精神和治国理政新理念新思想新战略，统筹推进“五位一体”总体布局和协调推进“四个全面”战略布局，牢固树立和落实新发展理念，适应把握引领经济发展新常态，坚持以提高发展质量和效益为中心，坚持以推进供给侧结构性改革为主线，紧紧围绕率先全面深化“放管服”改革、大力发展实体经济、主动融入国家重大战略、推动全方位对外开放、实施创新驱动发展、构建市场化规范化法制化体制机制和发展环境等方面，立足各自发展阶段和比较优势，坚持目标导向和问题导向相结合，因地制宜、精准发力，以新思路、新视角、新方法探索形成破除发展难题和体制障碍的特色化新路径，进一步激发新区发展动能，打造改革开放新高地、创新发展新引擎，为其它地区改革发展提供新区样板和引领示范，以优异成绩迎接党的十九大胜利召开。</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一、上海浦东新区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以制度创新为抓手，推进各类功能平台融合联动、协同互促，力争在深化自由贸易试验区改革创新、推进科技创新中心建设和推进社会治</w:t>
      </w:r>
      <w:r>
        <w:rPr>
          <w:rFonts w:ascii="微软雅黑" w:eastAsia="微软雅黑" w:hAnsi="微软雅黑" w:hint="eastAsia"/>
          <w:color w:val="000000"/>
          <w:sz w:val="27"/>
          <w:szCs w:val="27"/>
        </w:rPr>
        <w:lastRenderedPageBreak/>
        <w:t>理创新上有新作为，持续在构建高标准开放型经济新体制上发挥引领示范作用。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1、全面推进自由贸易试验区建设，深化</w:t>
      </w:r>
      <w:hyperlink r:id="rId130" w:tgtFrame="_blank" w:history="1">
        <w:r w:rsidRPr="00F84C82">
          <w:rPr>
            <w:rFonts w:hint="eastAsia"/>
          </w:rPr>
          <w:t>投资</w:t>
        </w:r>
      </w:hyperlink>
      <w:r>
        <w:rPr>
          <w:rFonts w:ascii="微软雅黑" w:eastAsia="微软雅黑" w:hAnsi="微软雅黑" w:hint="eastAsia"/>
          <w:color w:val="000000"/>
          <w:sz w:val="27"/>
          <w:szCs w:val="27"/>
        </w:rPr>
        <w:t>领域创新与商事制度改革，完善便利化最优的贸易监管制度创新，创新社会治理模式，稳健推动</w:t>
      </w:r>
      <w:hyperlink r:id="rId131" w:tgtFrame="_blank" w:history="1">
        <w:r w:rsidRPr="00F84C82">
          <w:rPr>
            <w:rFonts w:hint="eastAsia"/>
          </w:rPr>
          <w:t>金融</w:t>
        </w:r>
      </w:hyperlink>
      <w:r>
        <w:rPr>
          <w:rFonts w:ascii="微软雅黑" w:eastAsia="微软雅黑" w:hAnsi="微软雅黑" w:hint="eastAsia"/>
          <w:color w:val="000000"/>
          <w:sz w:val="27"/>
          <w:szCs w:val="27"/>
        </w:rPr>
        <w:t>开放创新试点，提升金融中心建设水平。</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2、进一步聚焦科创中心核心功能区建设，推动张江从科技园区向科学城转型，全面提升张江园区形态与功能。进一步优化科技创新综合环境，持续深化科技管理制度创新，完善科技综合服务体系。</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3、加强综合配套改革试验区、自由贸易试验区、科技创新中心、国家人才改革试验区建设等融合联动，探索重点改革事项、重大平台建设统筹协同、互促共进的有效方式。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二、天津滨海新区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着力在深化“放管服”改革、培育壮大新动能、扩大双向开放等方面先行先试、率先突破，全面提升开发开放水平和能级，进一步发挥在京津冀协同发展中的示范带动作用。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1、建设</w:t>
      </w:r>
      <w:hyperlink r:id="rId132" w:tgtFrame="_blank" w:history="1">
        <w:r w:rsidRPr="00F84C82">
          <w:rPr>
            <w:rFonts w:hint="eastAsia"/>
          </w:rPr>
          <w:t>电子</w:t>
        </w:r>
      </w:hyperlink>
      <w:r>
        <w:rPr>
          <w:rFonts w:ascii="微软雅黑" w:eastAsia="微软雅黑" w:hAnsi="微软雅黑" w:hint="eastAsia"/>
          <w:color w:val="000000"/>
          <w:sz w:val="27"/>
          <w:szCs w:val="27"/>
        </w:rPr>
        <w:t>市民中心，探索构建新型“</w:t>
      </w:r>
      <w:hyperlink r:id="rId133" w:tgtFrame="_blank" w:history="1">
        <w:r w:rsidRPr="00F84C82">
          <w:rPr>
            <w:rFonts w:hint="eastAsia"/>
          </w:rPr>
          <w:t>互联网</w:t>
        </w:r>
      </w:hyperlink>
      <w:r>
        <w:rPr>
          <w:rFonts w:ascii="微软雅黑" w:eastAsia="微软雅黑" w:hAnsi="微软雅黑" w:hint="eastAsia"/>
          <w:color w:val="000000"/>
          <w:sz w:val="27"/>
          <w:szCs w:val="27"/>
        </w:rPr>
        <w:t>+政务服务”体系、电子证照等政务数据跨部门共享机制和智能监管体系，努力打造全面深化“放管服”改革的新平台。</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2、加快建设天津滨海—中关村科技园和“双创”示范基地，全力推进京津冀全面创新改革试验区建设探索，率先形成个性化定制、服务型制造等新模式。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3、深化自由贸易试验区制度创新，探索与天津港联动的“区港绿色通道”，创新港产城融合发展方式，深入开展开放型经济新体制建设创新探索，提升承接国际产业梯度转移能力。</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三、重庆两江新区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以深化内陆开放领域体制机制创新为重点，以战略性新兴产业为抓手，探索开放型经济运行管理新模式，推动建立质量效益导向型</w:t>
      </w:r>
      <w:hyperlink r:id="rId134" w:tgtFrame="_blank" w:history="1">
        <w:r w:rsidRPr="00F84C82">
          <w:rPr>
            <w:rFonts w:hint="eastAsia"/>
          </w:rPr>
          <w:t>外贸</w:t>
        </w:r>
      </w:hyperlink>
      <w:r>
        <w:rPr>
          <w:rFonts w:ascii="微软雅黑" w:eastAsia="微软雅黑" w:hAnsi="微软雅黑" w:hint="eastAsia"/>
          <w:color w:val="000000"/>
          <w:sz w:val="27"/>
          <w:szCs w:val="27"/>
        </w:rPr>
        <w:t>发展新格局，进一步发挥在“</w:t>
      </w:r>
      <w:hyperlink r:id="rId135" w:tgtFrame="_blank" w:history="1">
        <w:r w:rsidRPr="00F84C82">
          <w:rPr>
            <w:rFonts w:hint="eastAsia"/>
          </w:rPr>
          <w:t>一带一路</w:t>
        </w:r>
      </w:hyperlink>
      <w:r>
        <w:rPr>
          <w:rFonts w:ascii="微软雅黑" w:eastAsia="微软雅黑" w:hAnsi="微软雅黑" w:hint="eastAsia"/>
          <w:color w:val="000000"/>
          <w:sz w:val="27"/>
          <w:szCs w:val="27"/>
        </w:rPr>
        <w:t>”建设和长江经济带发展方面的引领作用。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1、创新“产业链+价值链+</w:t>
      </w:r>
      <w:hyperlink r:id="rId136" w:tgtFrame="_blank" w:history="1">
        <w:r w:rsidRPr="00F84C82">
          <w:rPr>
            <w:rFonts w:hint="eastAsia"/>
          </w:rPr>
          <w:t>物流</w:t>
        </w:r>
      </w:hyperlink>
      <w:r>
        <w:rPr>
          <w:rFonts w:ascii="微软雅黑" w:eastAsia="微软雅黑" w:hAnsi="微软雅黑" w:hint="eastAsia"/>
          <w:color w:val="000000"/>
          <w:sz w:val="27"/>
          <w:szCs w:val="27"/>
        </w:rPr>
        <w:t>链+信息链+资金链”的内陆加工贸易发展方式，探索构建开放型产业新体系，打造内陆战略性新兴产业集聚区。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2、探索科技创新服务新机制，发挥创新创业和“互联网+”集智汇力的乘数效应，建设有特色、高水平的国家双创示范基地。</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3、健全外商投资管理制度，探索促进国际投资合作新方式，完善境外投资活动真实性核查制度，创新专业化、精准化、集群化</w:t>
      </w:r>
      <w:hyperlink r:id="rId137" w:tgtFrame="_blank" w:history="1">
        <w:r w:rsidRPr="00F84C82">
          <w:rPr>
            <w:rFonts w:hint="eastAsia"/>
          </w:rPr>
          <w:t>招商模式</w:t>
        </w:r>
      </w:hyperlink>
      <w:r>
        <w:rPr>
          <w:rFonts w:ascii="微软雅黑" w:eastAsia="微软雅黑" w:hAnsi="微软雅黑" w:hint="eastAsia"/>
          <w:color w:val="000000"/>
          <w:sz w:val="27"/>
          <w:szCs w:val="27"/>
        </w:rPr>
        <w:t>和共同出资、共同受益的资本运作模式。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四、浙江舟山群岛新区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依托舟山港综合保税区和舟山江海联运服务中心建设，开展自由贸易港区建设探索，推动建立与国际接轨的通行制度。</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1、以宁波—舟山港为依托，大力推进舟山江海联运服务中心建设，加快江海直达</w:t>
      </w:r>
      <w:hyperlink r:id="rId138" w:tgtFrame="_blank" w:history="1">
        <w:r w:rsidRPr="00F84C82">
          <w:rPr>
            <w:rFonts w:hint="eastAsia"/>
          </w:rPr>
          <w:t>船舶</w:t>
        </w:r>
      </w:hyperlink>
      <w:r>
        <w:rPr>
          <w:rFonts w:ascii="微软雅黑" w:eastAsia="微软雅黑" w:hAnsi="微软雅黑" w:hint="eastAsia"/>
          <w:color w:val="000000"/>
          <w:sz w:val="27"/>
          <w:szCs w:val="27"/>
        </w:rPr>
        <w:t>研究应用和江海联运公共信息平台建设，深化</w:t>
      </w:r>
      <w:hyperlink r:id="rId139" w:tgtFrame="_blank" w:history="1">
        <w:r w:rsidRPr="00F84C82">
          <w:rPr>
            <w:rFonts w:hint="eastAsia"/>
          </w:rPr>
          <w:t>港口</w:t>
        </w:r>
      </w:hyperlink>
      <w:r>
        <w:rPr>
          <w:rFonts w:ascii="微软雅黑" w:eastAsia="微软雅黑" w:hAnsi="微软雅黑" w:hint="eastAsia"/>
          <w:color w:val="000000"/>
          <w:sz w:val="27"/>
          <w:szCs w:val="27"/>
        </w:rPr>
        <w:t>一体化发展创新，提升大宗商品储备加工交易能力。</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2、创新外商投资便利化管理和促进机制，完善自由贸易背景下贸易服务体系，在符合相关政策前提下，开展全业态船舶供应服务探索，促进服务贸易市场拓展、品牌培育和产业发展。</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五、兰州新区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探索促进产业集聚和科技创新的新机制，打造务实高效的政务服务环境，充分激发社会投资动力和活力。</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1、依托兰白科技创新改革试验区建设，深化人才引进与知识产权保护机制创新，加快创新要素集聚，完善“创业苗圃+孵化器+加速器+产业园”的孵化链条，培育提升发展动能。</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2、优化开发建设秩序，聚焦核心功能区建设，集约节约利用土地，分区分步滚动开发，提高产业集聚度，严格管控审批新的</w:t>
      </w:r>
      <w:hyperlink r:id="rId140" w:tgtFrame="_blank" w:history="1">
        <w:r w:rsidRPr="00F84C82">
          <w:rPr>
            <w:rFonts w:hint="eastAsia"/>
          </w:rPr>
          <w:t>房地产</w:t>
        </w:r>
      </w:hyperlink>
      <w:r>
        <w:rPr>
          <w:rFonts w:ascii="微软雅黑" w:eastAsia="微软雅黑" w:hAnsi="微软雅黑" w:hint="eastAsia"/>
          <w:color w:val="000000"/>
          <w:sz w:val="27"/>
          <w:szCs w:val="27"/>
        </w:rPr>
        <w:t>项目，着力推进房地产去库存。</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六、广州南沙新区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深化粤港澳深度合作探索，推动建设粤港澳专业服务集聚区、港澳科技成果产业化平台和人才合作示范区，引领区域开放合作模式创新与发展动能转换。</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1、创新与港澳在资讯科技、专业服务、金融及金融后台服务、科技研发及成果转化等领域合作方式，推进服务业执业资格互认，吸引专业人才落户。</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2、完善“智慧通关”体系，推动建设全领域、全流程“线上海关”，构建国际国内资源双向流动的投资促进服务平台。探索建立法院主导、</w:t>
      </w:r>
      <w:r>
        <w:rPr>
          <w:rFonts w:ascii="微软雅黑" w:eastAsia="微软雅黑" w:hAnsi="微软雅黑" w:hint="eastAsia"/>
          <w:color w:val="000000"/>
          <w:sz w:val="27"/>
          <w:szCs w:val="27"/>
        </w:rPr>
        <w:lastRenderedPageBreak/>
        <w:t>社会参与、多方并举、法制保障的国际化、专业化、社会化多元纠纷解决平台，优化法治环境。</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七、陕西西咸新区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深化城市发展方式创新和特色化产业发展路径探索，进一步发挥国家创新城市发展方式试验区的综合功能和在“一带一路”建设中的重要作用。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1、探索突显</w:t>
      </w:r>
      <w:hyperlink r:id="rId141" w:tgtFrame="_blank" w:history="1">
        <w:r w:rsidRPr="00F84C82">
          <w:rPr>
            <w:rFonts w:hint="eastAsia"/>
          </w:rPr>
          <w:t>文化</w:t>
        </w:r>
      </w:hyperlink>
      <w:r>
        <w:rPr>
          <w:rFonts w:ascii="微软雅黑" w:eastAsia="微软雅黑" w:hAnsi="微软雅黑" w:hint="eastAsia"/>
          <w:color w:val="000000"/>
          <w:sz w:val="27"/>
          <w:szCs w:val="27"/>
        </w:rPr>
        <w:t>特色、注重绿色集成创新、保障群众利益的城市发展方式，创新优美小镇建设模式。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2、深化中俄丝路创新园建设探索，推动与广州南沙新区等共建产业合作基地、创新型孵化器等举措实施，在跨国、跨区域园区共建和产业孵化引领产业发展方面积累新经验。</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八、贵州贵安新区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依托</w:t>
      </w:r>
      <w:hyperlink r:id="rId142" w:tgtFrame="_blank" w:history="1">
        <w:r w:rsidRPr="00F84C82">
          <w:rPr>
            <w:rFonts w:hint="eastAsia"/>
          </w:rPr>
          <w:t>大数据</w:t>
        </w:r>
      </w:hyperlink>
      <w:r>
        <w:rPr>
          <w:rFonts w:ascii="微软雅黑" w:eastAsia="微软雅黑" w:hAnsi="微软雅黑" w:hint="eastAsia"/>
          <w:color w:val="000000"/>
          <w:sz w:val="27"/>
          <w:szCs w:val="27"/>
        </w:rPr>
        <w:t>产业发展集聚区、南方数据中心示范基地和绿色数据中心建设，探索以数字经济助推产业转型升级，促进新旧动能顺畅接续的供给侧结构性改革路径。</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1、创新政府服务模式，探索“人才+项目+团队”“人才+基地”等人才培养新模式，大力打造集储存、挖掘、分析、清洗、展示、应用、数据产品评估和交易等为一体的大数据核心产业链条。</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2、构建“研发+孵化+制造+融合+平台+应用”科技创新模式，形成闭合的产业生态圈，催生新产业新业态，推进“大数据+大开放”，创新开放合作形式。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九、青岛西海岸新区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深入推进青岛（古镇口）军民融合创新示范区和青岛蓝谷海洋经济发展示范区建设探索，持续深化军民融合体制机制和海洋科技发展创新。</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1、完善军民融合发展体制机制与政策举措，以“融”为核心，开展军民协同创新，探索构建集产业、科技、人才、保障为一体的军民综合创新体系，聚焦关键要素，挖掘培育军事文化特色。</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2、推进面向深海、深地、深空、深蓝的科技创新中心建设，探索科技企业阶梯培育机制，完善科技创新券机制，开展中德生态园知识产权</w:t>
      </w:r>
      <w:hyperlink r:id="rId143" w:tgtFrame="_blank" w:history="1">
        <w:r w:rsidRPr="00F84C82">
          <w:rPr>
            <w:rFonts w:hint="eastAsia"/>
          </w:rPr>
          <w:t>保险</w:t>
        </w:r>
      </w:hyperlink>
      <w:r>
        <w:rPr>
          <w:rFonts w:ascii="微软雅黑" w:eastAsia="微软雅黑" w:hAnsi="微软雅黑" w:hint="eastAsia"/>
          <w:color w:val="000000"/>
          <w:sz w:val="27"/>
          <w:szCs w:val="27"/>
        </w:rPr>
        <w:t>试点，加快全要素孵化加速的众创平台建设。</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十、大连金普新区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进一步创新管理体制，探索以科技创新和双向开放促进产业转型升级的有效途径，加快形成创新发展的内在动力。</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1、深化市场配置资源、经济运行管理、面向东北亚开放合作等方面的制度创新，加快大连东北亚</w:t>
      </w:r>
      <w:hyperlink r:id="rId144" w:tgtFrame="_blank" w:history="1">
        <w:r w:rsidRPr="00F84C82">
          <w:rPr>
            <w:rFonts w:hint="eastAsia"/>
          </w:rPr>
          <w:t>航运</w:t>
        </w:r>
      </w:hyperlink>
      <w:r>
        <w:rPr>
          <w:rFonts w:ascii="微软雅黑" w:eastAsia="微软雅黑" w:hAnsi="微软雅黑" w:hint="eastAsia"/>
          <w:color w:val="000000"/>
          <w:sz w:val="27"/>
          <w:szCs w:val="27"/>
        </w:rPr>
        <w:t>中心建设探索，启动保税区管理体制改革，健全与新区发展相适应的管理体制和运行机制。</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2、推进沈大国家自主创新示范区</w:t>
      </w:r>
      <w:hyperlink r:id="rId145" w:tgtFrame="_blank" w:history="1">
        <w:r w:rsidRPr="00F84C82">
          <w:rPr>
            <w:rFonts w:hint="eastAsia"/>
          </w:rPr>
          <w:t>高端装备</w:t>
        </w:r>
      </w:hyperlink>
      <w:r>
        <w:rPr>
          <w:rFonts w:ascii="微软雅黑" w:eastAsia="微软雅黑" w:hAnsi="微软雅黑" w:hint="eastAsia"/>
          <w:color w:val="000000"/>
          <w:sz w:val="27"/>
          <w:szCs w:val="27"/>
        </w:rPr>
        <w:t>、</w:t>
      </w:r>
      <w:hyperlink r:id="rId146" w:tgtFrame="_blank" w:history="1">
        <w:r w:rsidRPr="00F84C82">
          <w:rPr>
            <w:rFonts w:hint="eastAsia"/>
          </w:rPr>
          <w:t>集成电路</w:t>
        </w:r>
      </w:hyperlink>
      <w:r>
        <w:rPr>
          <w:rFonts w:ascii="微软雅黑" w:eastAsia="微软雅黑" w:hAnsi="微软雅黑" w:hint="eastAsia"/>
          <w:color w:val="000000"/>
          <w:sz w:val="27"/>
          <w:szCs w:val="27"/>
        </w:rPr>
        <w:t>、</w:t>
      </w:r>
      <w:hyperlink r:id="rId147" w:tgtFrame="_blank" w:history="1">
        <w:r w:rsidRPr="00F84C82">
          <w:rPr>
            <w:rFonts w:hint="eastAsia"/>
          </w:rPr>
          <w:t>通用航空</w:t>
        </w:r>
      </w:hyperlink>
      <w:r>
        <w:rPr>
          <w:rFonts w:ascii="微软雅黑" w:eastAsia="微软雅黑" w:hAnsi="微软雅黑" w:hint="eastAsia"/>
          <w:color w:val="000000"/>
          <w:sz w:val="27"/>
          <w:szCs w:val="27"/>
        </w:rPr>
        <w:t>等产业创新基地和专业</w:t>
      </w:r>
      <w:hyperlink r:id="rId148" w:tgtFrame="_blank" w:history="1">
        <w:r w:rsidRPr="00F84C82">
          <w:rPr>
            <w:rFonts w:hint="eastAsia"/>
          </w:rPr>
          <w:t>技术</w:t>
        </w:r>
      </w:hyperlink>
      <w:r>
        <w:rPr>
          <w:rFonts w:ascii="微软雅黑" w:eastAsia="微软雅黑" w:hAnsi="微软雅黑" w:hint="eastAsia"/>
          <w:color w:val="000000"/>
          <w:sz w:val="27"/>
          <w:szCs w:val="27"/>
        </w:rPr>
        <w:t>研发、创新创业服务等创新平台建设探索，力争在园区协同开放、招商引资机制创新等方面有所突破。</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十一、四川天府新区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突出“全面加速、提升发展”两大重点，加快全面创新改革，全力破解体制机制难题，进一步提升产业和区域整体竞争力。</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1、纵深推进全面创新改革试验，在军民融合、产学研协调创新等关键环节和重点领域实现率先突破，围绕增强产业发展核心竞争力，创新推动产业动能转换再提速方式。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2、健全协同管理体制，开展立法探索，构建有效统筹成都片区和眉山片区间、成都片区各区域间关系的管理运营方式，破解管理体制碎片化难题，提升区域融合发展水平。</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十二、湖南湘江新区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深化要素市场创新，持续推进生态文明建设体制机制改革探索，在推进绿色集约高效发展与产城融合、城乡一体化发展等方面有所突破。</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1、深化土地集约节约利用、投资方式及科技成果孵化转化机制创新探索，加强金融创新，丰富金融业态，推动形成高效规范的资源要素市场化配置方式。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2、完善多元化生态补偿机制，建设生态技术指标体系，开展绿色市政建设与循环化发展探索，依托水环境综合治理试点，建立特色化流域保护、管理执法机制，积极参加全国</w:t>
      </w:r>
      <w:hyperlink r:id="rId149" w:tgtFrame="_blank" w:history="1">
        <w:r w:rsidRPr="00F84C82">
          <w:rPr>
            <w:rFonts w:hint="eastAsia"/>
          </w:rPr>
          <w:t>碳交易</w:t>
        </w:r>
      </w:hyperlink>
      <w:r>
        <w:rPr>
          <w:rFonts w:ascii="微软雅黑" w:eastAsia="微软雅黑" w:hAnsi="微软雅黑" w:hint="eastAsia"/>
          <w:color w:val="000000"/>
          <w:sz w:val="27"/>
          <w:szCs w:val="27"/>
        </w:rPr>
        <w:t>市场建设。</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十三、南京江北新区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以科技创新培育发展新动能，以新技术助推行政管理体制改革，努力打造优良创新环境，积极发挥辐射带动作用。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1、进一步理顺管理体制和运行机制，探索以法定机构形式—8—建设运营江北新区大数据管理中心，运用大数据促进政府管理方式创新。</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2、开展专利、商标、版权“三合一”知识产权综合管理体制改革试点，推进科技创新资源集聚区建设，发挥江北高校联盟作用，创新科技成果转化方式，促进众创空间、</w:t>
      </w:r>
      <w:hyperlink r:id="rId150" w:tgtFrame="_blank" w:history="1">
        <w:r w:rsidRPr="00F84C82">
          <w:rPr>
            <w:rFonts w:hint="eastAsia"/>
          </w:rPr>
          <w:t>创客</w:t>
        </w:r>
      </w:hyperlink>
      <w:r>
        <w:rPr>
          <w:rFonts w:ascii="微软雅黑" w:eastAsia="微软雅黑" w:hAnsi="微软雅黑" w:hint="eastAsia"/>
          <w:color w:val="000000"/>
          <w:sz w:val="27"/>
          <w:szCs w:val="27"/>
        </w:rPr>
        <w:t>联盟、创业学院发展。</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十四、福州新区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积极对接国家“一带一路”建设，建立健全特色化综合服务平台，推进各类功能区深度融合。</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1、研究推进海洋产权交易中心和海域使用二级市场建设探索，为海洋产权交易积累有益经验。依托中国—东盟海交所等，提升海产品跨境结算平台功能。</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2、持续推进新区与平潭综合实验区、自由贸易试验区福州片区融合发展探索，建立健全两地共建共享机制。</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十五、云南滇中新区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围绕建设面向南亚东南亚辐射中心的重要支点战略定位，进一步理顺管理体制，健全要素保障机制，夯实开发开放基础。</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1、聚焦解决新区与昆明市之间人流、物流、资金流、信息流一体化问题，进一步推进市区融合发展体制机制创新，推动形成以市带区、重点保障、市区一体的融合协同发展格局。</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2、探索推动构建沿边开放新高地的体制机制，加快构建企业自主决策、融资渠道畅通、职能转变到位、政府行为规范、法治保障健全的新型投融资体制，创新优化发展环境。</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十六、哈尔滨新区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以优化发展环境为载体，以招商引资、产业集聚、对俄合作为重点，探索促进老工业基地转型发展新路径。</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1、探索建立精简高效的管理体制和运行机制，继续推进扁平化管理体制和大部门制优化调整，促进管理职能下沉，开展功能区运营模式改革，选择基础条件较好的功能区开展市场化运营试点。</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2、探索产业转型升级有效途径，创新市场化招商方式，围绕新区重点产业的垂直供需链和横向协作链开展“精准”招商，依托中俄博览会、国际交通走廊建设等，深化对俄全方位合作，推动贸易结构优化升级。</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十七、长春新区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构建科技创新平台，培育经济新动能，探索深化面向图们江区域合作开发新路径。</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1、加快长东北科技创新中心、北湖科技园等创新平台建设，积极打造创新创业平台，提高科技成果本地转化率，深化人才改革试验区建设探索，创新人才培养和引进模式。</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2、以东北亚国际陆港和空港经济</w:t>
      </w:r>
      <w:hyperlink r:id="rId151" w:tgtFrame="_blank" w:history="1">
        <w:r w:rsidRPr="00F84C82">
          <w:rPr>
            <w:rFonts w:hint="eastAsia"/>
          </w:rPr>
          <w:t>开发区</w:t>
        </w:r>
      </w:hyperlink>
      <w:r>
        <w:rPr>
          <w:rFonts w:ascii="微软雅黑" w:eastAsia="微软雅黑" w:hAnsi="微软雅黑" w:hint="eastAsia"/>
          <w:color w:val="000000"/>
          <w:sz w:val="27"/>
          <w:szCs w:val="27"/>
        </w:rPr>
        <w:t>建设为载体，完善口岸服务功能，促进物流、</w:t>
      </w:r>
      <w:hyperlink r:id="rId152" w:tgtFrame="_blank" w:history="1">
        <w:r w:rsidRPr="00F84C82">
          <w:rPr>
            <w:rFonts w:hint="eastAsia"/>
          </w:rPr>
          <w:t>健康</w:t>
        </w:r>
      </w:hyperlink>
      <w:hyperlink r:id="rId153" w:tgtFrame="_blank" w:history="1">
        <w:r w:rsidRPr="00F84C82">
          <w:rPr>
            <w:rFonts w:hint="eastAsia"/>
          </w:rPr>
          <w:t>养老</w:t>
        </w:r>
      </w:hyperlink>
      <w:r>
        <w:rPr>
          <w:rFonts w:ascii="微软雅黑" w:eastAsia="微软雅黑" w:hAnsi="微软雅黑" w:hint="eastAsia"/>
          <w:color w:val="000000"/>
          <w:sz w:val="27"/>
          <w:szCs w:val="27"/>
        </w:rPr>
        <w:t>等特色化产业集聚，探索提升参与图们江区域合作开发水平新路径。</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sidRPr="00F84C82">
        <w:rPr>
          <w:rFonts w:hint="eastAsia"/>
          <w:b/>
          <w:bCs/>
        </w:rPr>
        <w:t>十八、江西赣江新区</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围绕完善管理体制机制、创新发展平台、促进产城融合发展等方面进行探索，在促进中部地区崛起方面发挥积极作用。</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lastRenderedPageBreak/>
        <w:t>1、按照基础设施优先、环境优先、公共配套优先、产业优先原则，谋划推进空间形态有特色、功能内涵有内容的生态健康城建设，开展产城融合发展改革探索。</w:t>
      </w:r>
    </w:p>
    <w:p w:rsidR="00F84C82" w:rsidRDefault="00F84C82" w:rsidP="00F84C82">
      <w:pPr>
        <w:pStyle w:val="a8"/>
        <w:shd w:val="clear" w:color="auto" w:fill="FFFFFF"/>
        <w:spacing w:before="0" w:beforeAutospacing="0" w:after="0" w:afterAutospacing="0" w:line="540" w:lineRule="atLeast"/>
        <w:ind w:firstLine="480"/>
        <w:rPr>
          <w:rFonts w:ascii="微软雅黑" w:eastAsia="微软雅黑" w:hAnsi="微软雅黑"/>
          <w:color w:val="000000"/>
          <w:sz w:val="27"/>
          <w:szCs w:val="27"/>
        </w:rPr>
      </w:pPr>
      <w:r>
        <w:rPr>
          <w:rFonts w:ascii="微软雅黑" w:eastAsia="微软雅黑" w:hAnsi="微软雅黑" w:hint="eastAsia"/>
          <w:color w:val="000000"/>
          <w:sz w:val="27"/>
          <w:szCs w:val="27"/>
        </w:rPr>
        <w:t>2、依托共青城，建设科技创新及成果转化的示范区，多举措探索创新创业新方式，打造“双创”平台。</w:t>
      </w:r>
    </w:p>
    <w:p w:rsidR="009019B6" w:rsidRDefault="009019B6"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9019B6"/>
    <w:p w:rsidR="00F84C82" w:rsidRDefault="00F84C82" w:rsidP="00F84C82">
      <w:pPr>
        <w:pStyle w:val="3"/>
        <w:jc w:val="center"/>
        <w:rPr>
          <w:sz w:val="30"/>
          <w:szCs w:val="30"/>
        </w:rPr>
      </w:pPr>
      <w:bookmarkStart w:id="134" w:name="_Toc12864285"/>
      <w:r w:rsidRPr="00F84C82">
        <w:rPr>
          <w:rFonts w:hint="eastAsia"/>
          <w:sz w:val="30"/>
          <w:szCs w:val="30"/>
        </w:rPr>
        <w:lastRenderedPageBreak/>
        <w:t>国务院办公厅关于促进开发区改革和创新发展的若干意见（国办发〔</w:t>
      </w:r>
      <w:r w:rsidRPr="00F84C82">
        <w:rPr>
          <w:rFonts w:hint="eastAsia"/>
          <w:sz w:val="30"/>
          <w:szCs w:val="30"/>
        </w:rPr>
        <w:t>2017</w:t>
      </w:r>
      <w:r w:rsidRPr="00F84C82">
        <w:rPr>
          <w:rFonts w:hint="eastAsia"/>
          <w:sz w:val="30"/>
          <w:szCs w:val="30"/>
        </w:rPr>
        <w:t>〕</w:t>
      </w:r>
      <w:r w:rsidRPr="00F84C82">
        <w:rPr>
          <w:rFonts w:hint="eastAsia"/>
          <w:sz w:val="30"/>
          <w:szCs w:val="30"/>
        </w:rPr>
        <w:t>7</w:t>
      </w:r>
      <w:r w:rsidRPr="00F84C82">
        <w:rPr>
          <w:rFonts w:hint="eastAsia"/>
          <w:sz w:val="30"/>
          <w:szCs w:val="30"/>
        </w:rPr>
        <w:t>号）</w:t>
      </w:r>
      <w:bookmarkEnd w:id="134"/>
    </w:p>
    <w:p w:rsidR="00F84C82" w:rsidRPr="00F84C82" w:rsidRDefault="00F84C82" w:rsidP="00F84C82">
      <w:pPr>
        <w:widowControl/>
        <w:shd w:val="clear" w:color="auto" w:fill="FFFFFF"/>
        <w:jc w:val="center"/>
        <w:rPr>
          <w:rFonts w:ascii="宋体" w:eastAsia="宋体" w:hAnsi="宋体" w:cs="宋体"/>
          <w:color w:val="333333"/>
          <w:kern w:val="0"/>
          <w:sz w:val="24"/>
          <w:szCs w:val="24"/>
        </w:rPr>
      </w:pPr>
      <w:r w:rsidRPr="00F84C82">
        <w:rPr>
          <w:rFonts w:ascii="宋体" w:eastAsia="宋体" w:hAnsi="宋体" w:cs="宋体" w:hint="eastAsia"/>
          <w:b/>
          <w:bCs/>
          <w:color w:val="333333"/>
          <w:kern w:val="0"/>
          <w:sz w:val="36"/>
          <w:szCs w:val="36"/>
        </w:rPr>
        <w:t>国务院办公厅关于促进开发区</w:t>
      </w:r>
    </w:p>
    <w:p w:rsidR="00F84C82" w:rsidRPr="00F84C82" w:rsidRDefault="00F84C82" w:rsidP="00F84C82">
      <w:pPr>
        <w:widowControl/>
        <w:shd w:val="clear" w:color="auto" w:fill="FFFFFF"/>
        <w:jc w:val="center"/>
        <w:rPr>
          <w:rFonts w:ascii="宋体" w:eastAsia="宋体" w:hAnsi="宋体" w:cs="宋体"/>
          <w:color w:val="333333"/>
          <w:kern w:val="0"/>
          <w:sz w:val="24"/>
          <w:szCs w:val="24"/>
        </w:rPr>
      </w:pPr>
      <w:r w:rsidRPr="00F84C82">
        <w:rPr>
          <w:rFonts w:ascii="宋体" w:eastAsia="宋体" w:hAnsi="宋体" w:cs="宋体" w:hint="eastAsia"/>
          <w:b/>
          <w:bCs/>
          <w:color w:val="333333"/>
          <w:kern w:val="0"/>
          <w:sz w:val="36"/>
          <w:szCs w:val="36"/>
        </w:rPr>
        <w:t>改革和创新发展的若干意见</w:t>
      </w:r>
      <w:r w:rsidRPr="00F84C82">
        <w:rPr>
          <w:rFonts w:ascii="宋体" w:eastAsia="宋体" w:hAnsi="宋体" w:cs="宋体" w:hint="eastAsia"/>
          <w:color w:val="333333"/>
          <w:kern w:val="0"/>
          <w:sz w:val="24"/>
          <w:szCs w:val="24"/>
        </w:rPr>
        <w:br/>
      </w:r>
      <w:r w:rsidRPr="00F84C82">
        <w:rPr>
          <w:rFonts w:ascii="楷体" w:eastAsia="楷体" w:hAnsi="楷体" w:cs="宋体" w:hint="eastAsia"/>
          <w:color w:val="333333"/>
          <w:kern w:val="0"/>
          <w:sz w:val="24"/>
          <w:szCs w:val="24"/>
        </w:rPr>
        <w:t>国办发〔2017〕7号</w:t>
      </w:r>
    </w:p>
    <w:p w:rsidR="00F84C82" w:rsidRPr="00F84C82" w:rsidRDefault="00F84C82" w:rsidP="00F84C82">
      <w:pPr>
        <w:widowControl/>
        <w:shd w:val="clear" w:color="auto" w:fill="FFFFFF"/>
        <w:rPr>
          <w:rFonts w:ascii="宋体" w:eastAsia="宋体" w:hAnsi="宋体" w:cs="宋体"/>
          <w:color w:val="333333"/>
          <w:kern w:val="0"/>
          <w:sz w:val="24"/>
          <w:szCs w:val="24"/>
        </w:rPr>
      </w:pPr>
    </w:p>
    <w:p w:rsidR="00F84C82" w:rsidRPr="00F84C82" w:rsidRDefault="00F84C82" w:rsidP="00F84C82">
      <w:pPr>
        <w:widowControl/>
        <w:shd w:val="clear" w:color="auto" w:fill="FFFFFF"/>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各省、自治区、直辖市人民政府，国务院各部委、各直属机构：</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开发区建设是我国改革开放的成功实践，对促进体制改革、改善投资环境、引导产业集聚、发展开放型经济发挥了不可替代的作用，开发区已成为推动我国工业化、城镇化快速发展和对外开放的重要平台。当前，全球经济和产业格局正在发生深刻变化，我国经济发展进入新常态，面对新形势，必须进一步发挥开发区作为改革开放排头兵的作用，形成新的集聚效应和增长动力，引领经济结构优化调整和发展方式转变。为深入贯彻落实《中共中央 国务院关于构建开放型经济新体制的若干意见》，经国务院同意，现就促进开发区改革和创新发展提出以下意见。</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一、总体要求</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一）指导思想。全面贯彻党的十八大和十八届三中、四中、五中、六中全会精神，深入贯彻习近平总书记系列重要讲话精神和治国理政新理念新思想新战略，认真落实党中央、国务院决策部署，紧紧围绕统筹推进“五位一体”总体布局和协调推进“四个全面”战略布局，牢固树立创新、协调、绿色、开放、共享的发展理念，加强对各类开发区的统筹规划，加快开发区转型升级，促进开发区体制机制创新，完善开发区管理制度和政策体系，进一步增强开发区功能优势，把各类开发区建设</w:t>
      </w:r>
      <w:r w:rsidRPr="00F84C82">
        <w:rPr>
          <w:rFonts w:ascii="微软雅黑" w:eastAsia="微软雅黑" w:hAnsi="微软雅黑" w:cs="宋体" w:hint="eastAsia"/>
          <w:color w:val="000000"/>
          <w:kern w:val="0"/>
          <w:sz w:val="27"/>
          <w:szCs w:val="27"/>
        </w:rPr>
        <w:lastRenderedPageBreak/>
        <w:t>成为新型工业化发展的引领区、高水平营商环境的示范区、大众创业万众创新的集聚区、开放型经济和体制创新的先行区，推进供给侧结构性改革，形成经济增长的新动力。</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基本原则。坚持改革创新。强化开发区精简高效的管理特色，创新开发区运营模式，以改革创新激发新时期开发区发展的动力和活力。坚持规划引领。完善开发区空间布局和数量规模，形成布局合理、错位发展、功能协调的全国开发区发展格局，切实提高经济发展质量和效益。坚持集聚集约。完善公共设施和服务体系，引导工业项目向开发区集中，促进产业集聚、资源集约、绿色发展，切实发挥开发区规模经济效应。坚持发展导向。构建促进开发区发展的长效机制，以规范促发展，正确把握发展和规范的关系，不断探索开发区发展新路径、新经验。</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二、优化开发区形态和布局</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三）科学把握开发区功能定位。开发区要坚持以产业发展为主，成为本地区制造业、高新技术产业和生产性服务业集聚发展平台，成为实施制造强国战略和创新驱动发展战略的重要载体。开发区要科学规划功能布局，突出生产功能，统筹生活区、商务区、办公区等城市功能建设，促进新型城镇化发展。开发区要继续把优化营商环境作为首要任务，着力为企业投资经营提供优质高效的服务、配套完备的设施、共享便捷的资源，着力推进经济体制改革和政府职能转变。</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（四）明确各类开发区发展方向。经济技术开发区、高新技术产业开发区、海关特殊监管区域等国家级开发区要发挥示范引领作用，突出先进制造业、战略性新兴产业、加工贸易等产业特色，主动对接国际通</w:t>
      </w:r>
      <w:r w:rsidRPr="00F84C82">
        <w:rPr>
          <w:rFonts w:ascii="微软雅黑" w:eastAsia="微软雅黑" w:hAnsi="微软雅黑" w:cs="宋体" w:hint="eastAsia"/>
          <w:color w:val="000000"/>
          <w:kern w:val="0"/>
          <w:sz w:val="27"/>
          <w:szCs w:val="27"/>
        </w:rPr>
        <w:lastRenderedPageBreak/>
        <w:t>行规则，建设具有国际竞争力的高水平园区，打造具有国际影响力的园区品牌。经济开发区、工业园区、高新技术产业园区等省级开发区要依托区域资源优势，推动产业要素集聚，提升营商环境国际化水平，向主导产业明确、延伸产业链条、综合配套完备的方向发展，成为区域经济增长极，带动区域经济结构优化升级。</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五）推动各区域开发区协调发展。推进东部地区现有开发区转型升级，增强开发区发展的内生动力，培育有全球影响力的制造研发基地，提高我国产业在全球价值链中的地位。支持中西部地区、东北地区进一步完善开发区软硬件环境，加强开发区承接产业转移的能力建设，增强产业发展动力。鼓励东部地区开发区输出品牌、人才、技术、资金和管理经验，按照优势互补、产业联动、市场导向、利益共享的原则，与中西部地区、东北地区合作共建开发区。围绕“一带一路”建设、京津冀协同发展、长江经济带发展，推动沿海沿江沿线开发区良性互动发展，建设一批具有辐射带动效应的转型升级示范开发区，引导产业优化布局和分工协作。</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三、加快开发区转型升级</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六）推进开发区创新驱动发展。开发区要贯彻落实创新驱动发展战略，促进科技创新、制度创新，吸引集聚创新资源，提高创新服务水平，推动由要素驱动向创新驱动转变。支持开发区内企业技术中心建设，在有条件的开发区优先布局工程（技术）研究中心、工程实验室、国家（部门）重点实验室、国家地方联合创新平台、制造业创新中心。鼓励开发区加快发展众创空间、大学科技园、科技企业孵化器等创业服务平</w:t>
      </w:r>
      <w:r w:rsidRPr="00F84C82">
        <w:rPr>
          <w:rFonts w:ascii="微软雅黑" w:eastAsia="微软雅黑" w:hAnsi="微软雅黑" w:cs="宋体" w:hint="eastAsia"/>
          <w:color w:val="000000"/>
          <w:kern w:val="0"/>
          <w:sz w:val="27"/>
          <w:szCs w:val="27"/>
        </w:rPr>
        <w:lastRenderedPageBreak/>
        <w:t>台，构建公共技术服务平台，设立科技创新发展基金、创业投资基金、产业投资基金，完善融资、咨询、培训、场所等创新服务，培育创新创业生态，创新人才培养和引进机制，营造大众创业、万众创新良好氛围。支持有条件的国家高新技术产业开发区创建国家自主创新示范区，为在全国范围内完善科技创新政策提供可复制经验。</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七）加快开发区产业结构优化。开发区要适应新一轮产业变革趋势，加快实施“中国制造2025”战略，通过优化园区功能、强化产业链条、扶持重大项目、支持科技研发、腾笼换鸟等措施，支持传统制造业通过技术改造向中高端迈进，促进信息技术与制造业结合；主动培育高端装备、机器人、新一代信息技术、生物技术、新能源、新材料、数字创意等战略性新兴产业；促进生产型制造向服务型制造转变，大力发展研发设计、科技咨询、第三方物流、知识产权服务、检验检测认证、融资租赁、人力资源服务等生产性服务业。以开发区为载体，努力形成一批战略性新兴产业集聚区、国家高（新）技术产业（化）基地、国家新型工业化产业示范基地，打造世界级产业集群。</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八）促进开发区开放型经济发展。开发区要不断提高对外开放水平，继续发挥开放型经济主力军作用。支持开发区完善外贸综合服务体系和促进体系，鼓励开发区积极吸引外商投资和承接国际产业转移。支持开发区内符合条件的跨国企业集团开展跨境双向人民币资金池业务。允许符合条件的开发区内企业在全口径外债和资本流动审慎管理框架下，通过贷款、发行债券等形式从境外融入本外币资金。促进海关特殊</w:t>
      </w:r>
      <w:r w:rsidRPr="00F84C82">
        <w:rPr>
          <w:rFonts w:ascii="微软雅黑" w:eastAsia="微软雅黑" w:hAnsi="微软雅黑" w:cs="宋体" w:hint="eastAsia"/>
          <w:color w:val="000000"/>
          <w:kern w:val="0"/>
          <w:sz w:val="27"/>
          <w:szCs w:val="27"/>
        </w:rPr>
        <w:lastRenderedPageBreak/>
        <w:t>监管区域整合优化，将符合条件的出口加工区、保税港区等类型的海关特殊监管区域逐步整合为综合保税区。</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九）推动开发区实现绿色发展。开发区要积极推行低碳化、循环化、集约化发展，推进产业耦合，推广合同能源管理模式，积极参加全国碳交易市场建设和运行。鼓励开发区推进绿色工厂建设，实现厂房集约化、原料无害化、生产洁净化、废物资源化、能源低碳化。推进园区循环化改造，按照循环经济“减量化、再利用、资源化”的理念，推动企业循环式生产、产业循环式组合，搭建资源共享、废物处理、服务高效的公共平台，促进废物交换利用、能量梯级利用、水的分类利用和循环使用，实现绿色循环低碳发展。</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提升开发区基础设施水平。开发区基础设施建设要整体规划，配套电力、燃气、供热、供水、通信、道路、消防、防汛、人防、治污等设施，并将为企业服务的公共信息、技术、物流等服务平台和必要的社会事业建设项目统一纳入整体规划。推进海绵型开发区建设，增强防涝能力。开发区新建道路要按规划同步建设地下综合管廊，加快实施既有路面城市电网、通信网络架空线入地工程。推进实施“互联网+”行动，建设智慧、智能园区。积极利用专项建设基金，鼓励政策性、开发性、商业性金融机构创新金融产品和服务，支持开发区基础设施建设。</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四、全面深化开发区体制改革</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（十一）完善开发区管理体制。开发区管理机构作为所在地人民政府的派出机关，要按照精简高效的原则，进一步整合归并内设机构，集中精力抓好经济管理和投资服务，焕发体制机制活力。各地要加强对开</w:t>
      </w:r>
      <w:r w:rsidRPr="00F84C82">
        <w:rPr>
          <w:rFonts w:ascii="微软雅黑" w:eastAsia="微软雅黑" w:hAnsi="微软雅黑" w:cs="宋体" w:hint="eastAsia"/>
          <w:color w:val="000000"/>
          <w:kern w:val="0"/>
          <w:sz w:val="27"/>
          <w:szCs w:val="27"/>
        </w:rPr>
        <w:lastRenderedPageBreak/>
        <w:t>发区与行政区的统筹协调，完善开发区财政预算管理和独立核算机制，充分依托所在地各级人民政府开展社会管理、公共服务和市场监管，减少向开发区派驻的部门，逐步理顺开发区与代管乡镇、街道的关系，依据行政区划管理有关规定确定开发区管理机构管辖范围。对于开发区管理机构与行政区人民政府合并的开发区，应完善政府职能设置，体现开发区精简高效的管理特点。对于区域合作共建的开发区，共建双方应理顺管理、投入、分配机制。各类开发区要积极推行政企分开、政资分开，实行管理机构与开发运营企业分离。各地要及时总结开发区发展经验，积极探索开发区法规规章建设。</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二）促进开发区整合优化发展。各省（区、市）人民政府要积极探索建立开发区统一协调机制，避免开发区同质化和低水平恶性竞争，形成各具特色、差异化的开发区发展格局。鼓励以国家级开发区和发展水平高的省级开发区为主体，整合区位相邻、相近的开发区，对小而散的各类开发区进行清理、整合、撤销，建立统一的管理机构、实行统一管理。被整合的开发区的地区生产总值、财政收入等经济统计数据，可按属地原则进行分成。对于位于中心城区、工业比重低的开发区，积极推动向城市综合功能区转型。</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三）提高开发区行政管理效能。各省（区、市）人民政府要加大简政放权力度，将能够下放的经济管理权限，依照法定程序下放给开发区。对于开发区内企业投资经营过程中需要由所在地人民政府有关部门逐级转报的审批事项，探索取消预审环节，简化申报程序，可由开发区管理机构直接向审批部门转报。对于具有公共属性的审批事项，探索</w:t>
      </w:r>
      <w:r w:rsidRPr="00F84C82">
        <w:rPr>
          <w:rFonts w:ascii="微软雅黑" w:eastAsia="微软雅黑" w:hAnsi="微软雅黑" w:cs="宋体" w:hint="eastAsia"/>
          <w:color w:val="000000"/>
          <w:kern w:val="0"/>
          <w:sz w:val="27"/>
          <w:szCs w:val="27"/>
        </w:rPr>
        <w:lastRenderedPageBreak/>
        <w:t>由开发区内企业分别申报调整为以开发区为单位进行整体申报或转报。科学制定开发区权责清单，优化开发区行政管理流程，积极推进并联审批、网上办理等模式创新，提高审批效率。</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四）做好开发区投资促进工作。开发区要把投资促进作为重要任务，推进相关体制机制创新，营造国际化营商环境。鼓励开发区设立综合服务平台，为投资者提供行政审批一站式服务。开发区要积极主动开展招商引资活动，创新招商引资方式，从政府主导向政府招商与市场化招商相结合转变，加强招商引资人员培训，提升招商引资工作专业化水平。开发区可结合产业发展方向，在政策允许和权限范围内制定相应的招商引资优惠政策。</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五）推进开发区建设和运营模式创新。引导社会资本参与开发区建设，探索多元化的开发区运营模式。支持以各种所有制企业为主体，按照国家有关规定投资建设、运营开发区，或者托管现有的开发区，享受开发区相关政策。鼓励以政府和社会资本合作（PPP）模式进行开发区公共服务、基础设施类项目建设，鼓励社会资本在现有的开发区中投资建设、运营特色产业园，积极探索合作办园区的发展模式。支持符合条件的开发区开发运营企业在境内外上市、发行债券融资。充分发挥开发区相关协会组织作用，制订开发区服务规范，促进开发区自律发展。</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五、完善开发区土地利用机制</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（十六）优化开发区土地利用政策。对发展较好、用地集约的开发区，在安排年度新增建设用地指标时给予适度倾斜。适应开发区转型升级需要，加强开发区公共配套服务、基础设施建设等用地保障，提高生</w:t>
      </w:r>
      <w:r w:rsidRPr="00F84C82">
        <w:rPr>
          <w:rFonts w:ascii="微软雅黑" w:eastAsia="微软雅黑" w:hAnsi="微软雅黑" w:cs="宋体" w:hint="eastAsia"/>
          <w:color w:val="000000"/>
          <w:kern w:val="0"/>
          <w:sz w:val="27"/>
          <w:szCs w:val="27"/>
        </w:rPr>
        <w:lastRenderedPageBreak/>
        <w:t>产性服务业用地比例，适当增加生活性服务业用地供给。利用存量工业房产发展生产性服务业以及兴办创客空间、创新工场等众创空间的，可在5年内继续按原用途和土地权利类型使用土地，5年期满或涉及转让需办理相关用地手续的，可按新用途、新权利类型、市场价，以协议方式办理。允许工业用地使用权人按照有关规定经批准后对土地进行再开发，涉及原划拨土地使用权转让需补办出让手续的，可采取规定方式办理并按照市场价缴纳土地出让价款。</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七）严格开发区土地利用管理。各类开发区用地均须纳入所在市、县用地统一供应管理，并依据开发区用地和建设规划，合理确定用地结构。严格执行土地出让制度和用地标准、国家工业项目建设用地控制指标。推动开发区集约利用土地、提高土地利用效率，从建设用地开发强度、土地投资强度、人均用地指标的管控和综合效益等方面加强开发区土地集约利用评价。积极推行在开发区建设多层标准厂房，并充分利用地下空间。</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六、完善开发区管理制度</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八）加强开发区发展的规划指导。开发区建设应符合国民经济和社会发展规划、主体功能区规划、土地利用总体规划、城镇体系规划、城市总体规划和生态环境保护规划。提升开发区规划水平，增强规划的科学性和权威性，促进“多规合一”。为促进各类开发区合理有序良性发展，各省（区、市）人民政府要组织编制开发区总体发展规划，综合考虑本地区经济发展现状、资源和环境条件、产业基础和特点，科学确</w:t>
      </w:r>
      <w:r w:rsidRPr="00F84C82">
        <w:rPr>
          <w:rFonts w:ascii="微软雅黑" w:eastAsia="微软雅黑" w:hAnsi="微软雅黑" w:cs="宋体" w:hint="eastAsia"/>
          <w:color w:val="000000"/>
          <w:kern w:val="0"/>
          <w:sz w:val="27"/>
          <w:szCs w:val="27"/>
        </w:rPr>
        <w:lastRenderedPageBreak/>
        <w:t>定开发区的区域布局，明确开发区的数量、产业定位、管理体制和未来发展方向。</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十九）规范开发区设立、扩区和升级管理。各省（区、市）人民政府要根据开发区总体发展规划和当地经济发展需要，稳步有序推进开发区设立、扩区和升级工作，原则上每个县（市、区）的开发区不超过1家。限制开发区域原则上不得建设开发区，禁止开发区域严禁建设开发区。对于按照核准面积和用途已基本建成的现有开发区，在达到依法、合理、集约用地标准后，方可申请扩区。发展较好的省级开发区可按规定程序升级为国家级开发区。</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十）完善开发区审批程序和公告制度。国家级开发区的设立、扩区和省级开发区升级为国家级开发区，由省（区、市）人民政府向国务院提出申请，由科技部、商务部、海关总署等会同有关部门共同研究、通盘考虑，提出审核意见报国务院审批。省级开发区的设立、扩区、调区，由所在地人民政府提出申请，报省（区、市）人民政府审批，并报国务院备案。国家发展改革委会同国土资源部、住房城乡建设部等部门定期修订全国开发区审核公告目录，向社会公布符合条件的开发区名称、面积、主导产业等，接受社会监督。</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十一）强化开发区环境、资源、安全监管。开发区布局和建设必须依法执行环境影响评价制度，在空间布局、总量管控、环境准入等方面运用环境影响评价成果，对入区企业或项目设定环境准入要求，积极推行环境污染第三方治理。落实最严格水资源管理制度，实行水资源消耗总量和强度双控，严格执行水资源论证制度，严格水土保持监督管</w:t>
      </w:r>
      <w:r w:rsidRPr="00F84C82">
        <w:rPr>
          <w:rFonts w:ascii="微软雅黑" w:eastAsia="微软雅黑" w:hAnsi="微软雅黑" w:cs="宋体" w:hint="eastAsia"/>
          <w:color w:val="000000"/>
          <w:kern w:val="0"/>
          <w:sz w:val="27"/>
          <w:szCs w:val="27"/>
        </w:rPr>
        <w:lastRenderedPageBreak/>
        <w:t>理，防控废弃渣土水土流失危害，加强节约用水管理。推动现有开发区全面完成污水集中处理，新建开发区必须同步配套污水集中处理设施和污染在线监控系统。开发区规划、建设要加强安全管理，严格执行安全设施“三同时”制度，强化安全执法能力建设和安全监管责任体系建设。加强开发区各相关规划的衔接，严格落实安全生产和环境保护所需的防护距离，促进产业发展与人居环境相和谐。</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十二）完善开发区评价考核制度。有关主管部门和各省（区、市）人民政府要建立健全开发区综合评价考核体系，统计部门要积极支持建立健全开发区统计体系，全面反映开发区的开发程度、产业集聚度、技术创新能力、创新创业环境、单位土地投资强度、产出率、带动就业能力、经济效益、环境保护、循环经济发展水平、能源利用效率、低碳发展、社会效益、债务风险等情况。</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二十三）建立开发区动态管理机制。开发区考核结果要与奖惩措施挂钩，对考核结果好的开发区优先考虑扩区、升级，加大政策支持力度；对考核结果不合格的开发区，要限制新增土地指标，提出警告，限期整改；对整改不力，特别是长期圈占土地、开发程度低的开发区，要核减面积或予以降级、撤销，不允许纳入全国开发区审核公告目录。</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加强新形势下开发区的改革发展，是适应我国经济发展新常态、加快转变经济发展方式的重要举措，对于推进供给侧结构性改革、推动经济持续健康发展具有重要意义。各地区、各部门要高度重视，上下配合，按照职责分工，加强对开发区工作的指导和监督，营造有利的政策环境，共同开创开发区持续健康发展的新局面。</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lastRenderedPageBreak/>
        <w:t xml:space="preserve">　　　　　　　　　　　　　　　　　　　　　　</w:t>
      </w:r>
      <w:r w:rsidRPr="00F84C82">
        <w:rPr>
          <w:rFonts w:ascii="微软雅黑" w:eastAsia="微软雅黑" w:hAnsi="微软雅黑" w:cs="宋体" w:hint="eastAsia"/>
          <w:color w:val="000000"/>
          <w:kern w:val="0"/>
          <w:sz w:val="27"/>
          <w:szCs w:val="27"/>
        </w:rPr>
        <w:t>国务院办公厅</w:t>
      </w:r>
    </w:p>
    <w:p w:rsidR="00F84C82" w:rsidRPr="00F84C82" w:rsidRDefault="00F84C82" w:rsidP="00F84C82">
      <w:pPr>
        <w:widowControl/>
        <w:shd w:val="clear" w:color="auto" w:fill="FFFFFF"/>
        <w:ind w:firstLine="480"/>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 xml:space="preserve">　　　　　　　　　　　　　　　　　　　　　</w:t>
      </w:r>
      <w:r w:rsidRPr="00F84C82">
        <w:rPr>
          <w:rFonts w:ascii="微软雅黑" w:eastAsia="微软雅黑" w:hAnsi="微软雅黑" w:cs="宋体" w:hint="eastAsia"/>
          <w:color w:val="000000"/>
          <w:kern w:val="0"/>
          <w:sz w:val="27"/>
          <w:szCs w:val="27"/>
        </w:rPr>
        <w:t>2017年1月19日</w:t>
      </w:r>
    </w:p>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Pr>
        <w:pStyle w:val="3"/>
        <w:jc w:val="center"/>
        <w:rPr>
          <w:sz w:val="30"/>
          <w:szCs w:val="30"/>
        </w:rPr>
      </w:pPr>
      <w:bookmarkStart w:id="135" w:name="_Toc12864286"/>
      <w:r w:rsidRPr="00F84C82">
        <w:rPr>
          <w:rFonts w:hint="eastAsia"/>
          <w:sz w:val="30"/>
          <w:szCs w:val="30"/>
        </w:rPr>
        <w:lastRenderedPageBreak/>
        <w:t>关于促进具备条件的开发区向城市综合功能区转型的指导意见（发改规划〔</w:t>
      </w:r>
      <w:r w:rsidRPr="00F84C82">
        <w:rPr>
          <w:rFonts w:hint="eastAsia"/>
          <w:sz w:val="30"/>
          <w:szCs w:val="30"/>
        </w:rPr>
        <w:t>2015</w:t>
      </w:r>
      <w:r w:rsidRPr="00F84C82">
        <w:rPr>
          <w:rFonts w:hint="eastAsia"/>
          <w:sz w:val="30"/>
          <w:szCs w:val="30"/>
        </w:rPr>
        <w:t>〕</w:t>
      </w:r>
      <w:r w:rsidRPr="00F84C82">
        <w:rPr>
          <w:rFonts w:hint="eastAsia"/>
          <w:sz w:val="30"/>
          <w:szCs w:val="30"/>
        </w:rPr>
        <w:t>2832</w:t>
      </w:r>
      <w:r w:rsidRPr="00F84C82">
        <w:rPr>
          <w:rFonts w:hint="eastAsia"/>
          <w:sz w:val="30"/>
          <w:szCs w:val="30"/>
        </w:rPr>
        <w:t>号）</w:t>
      </w:r>
      <w:bookmarkEnd w:id="135"/>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各省、自治区、直辖市发展改革委、科技厅、民政厅、国土资源厅、环境保护厅、住房和城乡建设厅、商务厅（委、局），直辖市建委及有关部门：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开发区作为带动区域经济增长的重要载体和引擎，在改革开放、科技创新、聚集产业等方面发挥了积极作用。但随着发展阶段和条件变化，部分开发区单一生产功能、公共服务和社会管理功能不足、管理体制不畅等现状已难以适应新型城镇化发展要求。《国家新型城镇化规划（2014—2020年）》明确提出，要加强现有开发区城市功能改造，推动单一生产功能向城市综合功能转型。据此，特提出以下意见。</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一、总体要求</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一）指导思想。全面贯彻落实党的十八大和十八届三中、四中、五中全会精神，深入贯彻习近平总书记系列重要讲话精神，主动适应引领经济发展新常态，积极顺应开发区转型升级和政府职能转变背景下的新要求，以增强开发区城市综合功能为核心任务，按照人口经济与资源环境协调发展、生产生活生态功能有机融合的理念，推动具备条件的开发区城市综合功能改造，合理配置生产生活生态空间，优化开发区行政管理体制，促进与所依托行政区深度融合发展，更好发挥开发区对推动以人为核心的新型城镇化、带动经济提质增效升级的积极作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（二）基本原则</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因地制宜，分类施策。坚持功能体系与发展阶段相匹配，优先开展产业人口集聚度较高、综合功能需求迫切、财力支撑能力较强的开发区城市功能改造，并根据开发区实际情况选择不同的转型路径、实施差别化的转型政策。</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规划引领，长远谋划。坚持以规划引领开发区功能改造，做好开发区功能拓展、产业升级、结构调整的中长期规划，提升规划的前瞻性和科学性，并做好与所在地经济社会发展总体规划、城乡规划、土地利用总体规划和生态环境保护规划的衔接。</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优化功能，提质增效。坚持以人为本、补齐功能短板，以服务经济为重点完善产业功能，以公共服务和社会管理为重点完善城市功能，以生活和服务设施为重点改善基础设施条件，促进开发区提高综合承载能力和人口集聚能力。</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改革创新，协同推进。坚持以制度创新支撑开发区转型，以开发区与行政区融合发展为导向，在土地管理、公共服务、社会管理、投融资等方面探索创新性制度安排，理顺管理体制，消除开发区转型发展制度障碍，形成各部门、各领域协同推进合力。</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三）主要目标。加快推动开发区城市功能改造，到2020年实现开发区功能明显优化，产业竞争力明显提升，土地利用效率明显提高，公共服务和社会管理效能明显改善，集聚和吸纳人口能力明显增强，使具备条件的开发区成为产城融合、集约紧凑、功能完善、生态良好、管理高效的现代化城市综合功能区。</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四）适用范围。经济基础较好，围绕主导产业已形成一定规模的产业集群，就业特别是外来人口和农村转移人口就业规模较大；有较强转型意愿，产业转型升级压力较大，提升公共服务和社会管理能力、进一步增加生产生活服务配套的需求迫切；安全和环境风险较小、可控，贯彻执行环境保护政策法规情况较好，近两年未受到区域限批、挂牌督办和未发生重大安全及环境事件；符合所在行政区的土地利用总体规划和城市（镇）总体规划的国家级经济技术开发区、高新技术产业开发区、边境经济合作区以及列入《中国开发区审核公告目录》的省级经济开发区、高新技术产业园区、特色工业园区。</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二、提升开发区城市综合功能</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五）增强居住和生活功能。优化开发区功能布局，统筹产业发展、居住、商业服务业、公共管理和公共服务设施、工业物流仓储等用地和设施规划建设，合理配置各类功能比例。以减少职住分离、缩短通勤距离和通勤时间为目标，探索增加开发区内居住功能，重点建设稳定的职工生活社区。农民工集中的开发区根据实际需求可以建设单元型或宿舍型公共租赁住房，农民工数量较多的企业可在其用地范围内按规定标准建设农民工集体宿舍。根据开发区人口的年龄、职业等特征，引进和丰富区内商业业态，完善购物、餐饮、娱乐、休闲等服务功能。</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六）完善公共服务功能。根据开发区常住人口规模和增长趋势，配套建设学校、医疗卫生机构、文化设施、养老服务设施、体育场所、社区综合服务设施等公共服务设施。完善开发区公共交通体系，改善从业人员和居民出行条件。优化开发区及周边学校和教学点布局，提升各</w:t>
      </w:r>
      <w:r w:rsidRPr="00F84C82">
        <w:rPr>
          <w:rFonts w:ascii="微软雅黑" w:eastAsia="微软雅黑" w:hAnsi="微软雅黑" w:cs="宋体" w:hint="eastAsia"/>
          <w:color w:val="000000"/>
          <w:kern w:val="0"/>
          <w:sz w:val="27"/>
          <w:szCs w:val="27"/>
        </w:rPr>
        <w:lastRenderedPageBreak/>
        <w:t>级学校办学水平，逐步实现常住人口子女就近入学。加强开发区社区医疗卫生服务机构建设，鼓励开发区内的医疗机构与国际国内医疗机构开展合作。建立健全开发区公共文化服务体系，丰富从业人员和居民精神文化生活。探索适应开发区特点、服务创新创业的公共服务提供方式，发展创新创业区域平台。</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七）加强基础设施建设。按照内通外畅的原则，提高区域交通路网建设和管理水平，加强开发区与主城区和周边地区道路联通，发展低碳便捷的交通体系。根据实际需求推动开发区立体停车场建设。完善开发区内供排水、供电、供气、供热和污水及垃圾处理等市政公用设施。按照规划先行、标准明确、设计优先、质量保证的原则，加快开发区地下综合管廊建设，同步配套消防、供电、照明、通风、供排水、视频、标识、安全与报警、智能管理等附属设施。鼓励开发区开展智慧园区建设，推动信息化基础设施建设，构建安全融合、经济高效、支持创新创业的信息基础设施和服务体系。</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八）强化生态环境保护。将生态文明理念融入开发区转型发展，提高绿色发展水平。科学布局各类空间，合理建设绿色生态廊道。大力发展绿色建筑和低碳、便捷的交通体系。积极推进产业园区循环化改造。加强污染物综合治理，提高污水、垃圾处理设施建设、运行、管理水平。严格落实最小生态安全距离及有关标准和规定，完善环境风险防范和应急联动机制，切实防范安全和环境风险。</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三、强化开发区产业支撑</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九）巩固提升开发区产业集聚优势。依托开发区产业基础，充分发挥开发区在技术、资金和人力资本等方面的优势，推动开发区产业向中高端升级。实施创新驱动发展战略，支持建立产业关键技术和共性平台，建设服务于产业集群的信息服务平台，推动创新集群与产业集群融合发展，加强不同产业链条和不同企业的协同协作。统筹规划开发区空间布局、产业布局，优化资源配置，推进开发区企业间资源共享，共同使用基础设施。巩固提升开发区政府职能精简高效的优势，通过营造良好创新创业环境和便利生活环境，加强创新创业信息资源整合，增强人才和资本等要素集聚能力。</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培育壮大服务经济。在巩固提升现有制造业的基础上，鼓励发展研发设计、信息服务、专业维修服务和金融、审计等生产性服务业，鼓励开展面向创业者的社会化服务，促进生产性服务业与制造业融合发展。顺应开发区就业和居住人口变化趋势，合理布局区内生活性服务业。切实贯彻落实研发设计激励政策，发挥创新对开发区转型发展的驱动作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四、完善开发区土地政策</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一）优化土地利用结构。按照规模合理、布局集中、用地集约、产业集聚的要求，在严格符合当地土地利用总体规划和城市总体规划的前提下，根据开发区发展阶段和实际，适当调整开发区用地结构和功能布局，支撑开发区由单一功能向城市功能转型。加强开发区公共配套服务设施、交通基础设施、市政公用设施、公共绿地和保障性住房等用地保障，适当增加生活性和生产性服务业用地供给。加强开发区用地功能</w:t>
      </w:r>
      <w:r w:rsidRPr="00F84C82">
        <w:rPr>
          <w:rFonts w:ascii="微软雅黑" w:eastAsia="微软雅黑" w:hAnsi="微软雅黑" w:cs="宋体" w:hint="eastAsia"/>
          <w:color w:val="000000"/>
          <w:kern w:val="0"/>
          <w:sz w:val="27"/>
          <w:szCs w:val="27"/>
        </w:rPr>
        <w:lastRenderedPageBreak/>
        <w:t>改造，健全土地功能调整转换机制，提高土地利用经济、社会、生态综合效益。经依法批准后，鼓励闲置划拨土地上的工业厂房、仓库等用于养老、流通、服务、旅游、文化创意等行业发展，在一定时间内可继续以划拨方式使用土地，暂不变更土地使用性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二）强化土地节约集约利用。提高土地利用效率，盘活存量工业用地，为开发区城市功能改造释放空间。强化对开发区建设用地开发强度、土地投资强度、人均用地指标的管控和综合效益评价，鼓励对现有工业用地追加投资、转型改造。对新兴产业发展快、用地集约且需求大的开发区，可在安排年度新增建设用地指标时给予适度倾斜。探索存量用地二次开发的激励约束机制，严格执行依法收回闲置用地或征收土地闲置费的规定。加大节地技术和模式的推广应用力度。重点推广城市公交场站、大型批发市场、会展和文体中心建设中的地上地下空间立体开发、综合利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三）探索功能混合布局和复合开发。在符合规划建设要求、安全防护和环境保护规定等基础上，因地制宜推动土地功能混合布局和复合开发。完善基础设施、公共服务设施、交通枢纽等公共空间土地综合开发利用模式和供地方式。按照用途相近、功能兼容、控制比例的原则探索引入综合用地类型。适当提高新兴产业工业项目中生产性服务设施用地比例，并可按工业用途管理。鼓励工业企业建设多层厂房，进行生产、研发、设计、经营多功能复合利用。</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五、创新开发区管理体制</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十四）增强管理服务效能。鼓励开发区精简高效设置职能机构，简化审批程序、提高审批效率，加快建设统一高效的综合管理体制。加强开发区与行政区职能的统筹协调，充分依托所在行政区开展行政管理事务，加强公共服务功能，提升社会服务和城市综合运营管理能力，强化开发区安全、环保、质量监管、市场监管职能。在招商引资、产业集聚、公共服务和社会管理等方面，促进开发区与所在行政区形成功能互补、良性互动的合作格局。</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五）适时调整优化行政区划设置。根据开发区发展阶段、发展需求和区位条件，通过合理调整行政区划，推动具备条件的开发区与行政区深度融合发展。对位于中心城区或者与城区连片发展的开发区，可探索开发区与行政区体制合一或适度调整城区规模结构，整合机构职能；对远离中心城区，且条件成熟、需求迫切的开发区，在不增加行政建制的前提下，可整合周边区域，探索设立行政区。相关行政区划调整，要按照法定标准和程序报国务院审批。</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六）创新开发区社会治理方式。鼓励开发区完善落户政策和流动人口服务管理制度，促进外来人口更好融入开发区。在党委领导和政府主导下，发挥社区和社会组织在开发区社会治理中的基础作用。健全以社区服务站、邻里中心等为依托的社区综合服务管理平台，构建新型社区服务管理体系。建立健全邻里沟通机制与社区矛盾化解机制，鼓励和支持社区居民自治组织、驻区单位、社区社会组织、社区居民积极参与社区公共事务和公益事业进行自我管理。大力推进社区公共服务综合信息平台建设和智慧社区建设。</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六、拓宽开发区建设投融资渠道</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七）采用多元化投融资工具。鼓励开发性和政策性金融机构在基础设施、公用事业及产业转型升级等方面给予开发区中长期信贷支持。允许具备条件的开发区开发运营企业依照国家有关规定上市和发行企业债券、中期票据、短期融资券等债券产品。支持国家级开发区同投资机构、保险公司、担保机构及商业银行合作，探索建立投保贷序时融资安排模式。建立开发区债务管理及风险预警机制，严格控制开发区负债规模。积极推广北京中关村、上海张江经验，支持有条件的开发区率先探索知识产权贷款、信用保险和科技保险等金融创新。</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十八）积极引入社会资本。采取特许经营、公建民营、民办公助等方式，鼓励社会资本参与开发区公共产品和公共服务提供。优先在基础设施、资源环境、公共服务等领域推广政府和社会资本合作模式。探索开发区将基础设施、公益性基础建设项目及产业招商等服务项目整体外包。鼓励社会资本参与开发区融资平台公司存量公共服务项目改造运营。逐步扩大教育、医疗、养老、体育、文化等服务购买范围。</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各有关部门要加强宏观指导和协调配合，适时研究出台支持开发区转型的政策措施，及时总结可推广复制的先进经验，在按规定对各类开发区进行评价时，应注重考虑经济提质增效升级、土地集约利用、创新能力、公共服务、生态环境和行政效能等方面的因素。各有关地区要结合本地区和开发区实际情况，科学制定实施方案，加强对转型情况的动态跟踪，主动作为、开拓创新，积极有序推进实施。</w:t>
      </w:r>
    </w:p>
    <w:p w:rsidR="00F84C82" w:rsidRPr="00F84C82" w:rsidRDefault="00F84C82" w:rsidP="00F84C82">
      <w:pPr>
        <w:widowControl/>
        <w:shd w:val="clear" w:color="auto" w:fill="EDEDED"/>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国家发展改革委</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科　　技　　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民　　政　　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国 土 资 源 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环 境 保 护 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住房城乡建设部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商　　务　　部</w:t>
      </w:r>
    </w:p>
    <w:p w:rsidR="00F84C82" w:rsidRPr="00F84C82" w:rsidRDefault="00F84C82" w:rsidP="00F84C82">
      <w:pPr>
        <w:widowControl/>
        <w:shd w:val="clear" w:color="auto" w:fill="EDEDED"/>
        <w:jc w:val="center"/>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2015年12月2日</w:t>
      </w:r>
    </w:p>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Pr>
        <w:pStyle w:val="3"/>
        <w:jc w:val="center"/>
        <w:rPr>
          <w:sz w:val="30"/>
          <w:szCs w:val="30"/>
        </w:rPr>
      </w:pPr>
      <w:bookmarkStart w:id="136" w:name="_Toc12864287"/>
      <w:r w:rsidRPr="00F84C82">
        <w:rPr>
          <w:rFonts w:hint="eastAsia"/>
          <w:sz w:val="30"/>
          <w:szCs w:val="30"/>
        </w:rPr>
        <w:lastRenderedPageBreak/>
        <w:t>国家发展改革委</w:t>
      </w:r>
      <w:r w:rsidRPr="00F84C82">
        <w:rPr>
          <w:rFonts w:hint="eastAsia"/>
          <w:sz w:val="30"/>
          <w:szCs w:val="30"/>
        </w:rPr>
        <w:t xml:space="preserve"> </w:t>
      </w:r>
      <w:r w:rsidRPr="00F84C82">
        <w:rPr>
          <w:rFonts w:hint="eastAsia"/>
          <w:sz w:val="30"/>
          <w:szCs w:val="30"/>
        </w:rPr>
        <w:t>国家开发银行关于推进开发性金融支持国家级新区健康发展有关工作的通知（发改地区〔</w:t>
      </w:r>
      <w:r w:rsidRPr="00F84C82">
        <w:rPr>
          <w:rFonts w:hint="eastAsia"/>
          <w:sz w:val="30"/>
          <w:szCs w:val="30"/>
        </w:rPr>
        <w:t>2015</w:t>
      </w:r>
      <w:r w:rsidRPr="00F84C82">
        <w:rPr>
          <w:rFonts w:hint="eastAsia"/>
          <w:sz w:val="30"/>
          <w:szCs w:val="30"/>
        </w:rPr>
        <w:t>〕</w:t>
      </w:r>
      <w:r w:rsidRPr="00F84C82">
        <w:rPr>
          <w:rFonts w:hint="eastAsia"/>
          <w:sz w:val="30"/>
          <w:szCs w:val="30"/>
        </w:rPr>
        <w:t>1584</w:t>
      </w:r>
      <w:r w:rsidRPr="00F84C82">
        <w:rPr>
          <w:rFonts w:hint="eastAsia"/>
          <w:sz w:val="30"/>
          <w:szCs w:val="30"/>
        </w:rPr>
        <w:t>号）</w:t>
      </w:r>
      <w:bookmarkEnd w:id="136"/>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各省、自治区、直辖市及计划单列市、新疆生产建设兵团发展改革委，国家开发银行各分行，各国家级新区管委会：</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根据国家发展改革委、国土资源部、环境保护部、住房和城乡建设部联合印发的《关于促进国家级新区健康发展的指导意见》（发改地区</w:t>
      </w:r>
      <w:r w:rsidRPr="00F84C82">
        <w:rPr>
          <w:rFonts w:ascii="微软雅黑" w:eastAsia="微软雅黑" w:hAnsi="微软雅黑" w:cs="宋体"/>
          <w:color w:val="000000"/>
          <w:kern w:val="0"/>
          <w:sz w:val="27"/>
          <w:szCs w:val="27"/>
        </w:rPr>
        <w:t>[2015]778</w:t>
      </w:r>
      <w:r w:rsidRPr="00F84C82">
        <w:rPr>
          <w:rFonts w:ascii="微软雅黑" w:eastAsia="微软雅黑" w:hAnsi="微软雅黑" w:cs="宋体" w:hint="eastAsia"/>
          <w:color w:val="000000"/>
          <w:kern w:val="0"/>
          <w:sz w:val="27"/>
          <w:szCs w:val="27"/>
        </w:rPr>
        <w:t>号）要求，为进一步促进国家级新区（以下简称“新区”）持续健康发展，现就推进开发性金融支持新区健康发展有关工作通知如下：</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一、各相关省（区、市）发展改革部门要高度重视新区建设工作，坚持规划引领，会同有关方面制定实施好新区发展规划（方案），配合制定相关专项规划，加强新区发展规划（方案）与“一带一路”、京津冀协同发展、长江经济带、新型城镇化等重大国家战略的有效衔接，加强新区内部各类功能区的统筹协调和资源整合，促进资源要素优化配置，集聚发展。新区建设要突出“创新”，用足、用好各项政策，进一步提升新区在全国改革开放和现代化建设大局中的战略地位。</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二、各相关省（区、市）发展改革部门要支持新区深化体制机制创新，优先支持新区开展国家和省（区、市）重大改革试点，推动新区建立高效运转的行政管理机制，支持新区加大在投资项目建设、城乡统筹、城市发展和生态环保等方面的审批、核准和管理权限。新区要重点按照国务院常务会议关于推广政府和社会资本合作模式的部署和《关于在公共服务领域推广政府和社会资本合作模式的指导意见》（国办发〔</w:t>
      </w:r>
      <w:r w:rsidRPr="00F84C82">
        <w:rPr>
          <w:rFonts w:ascii="微软雅黑" w:eastAsia="微软雅黑" w:hAnsi="微软雅黑" w:cs="宋体"/>
          <w:color w:val="000000"/>
          <w:kern w:val="0"/>
          <w:sz w:val="27"/>
          <w:szCs w:val="27"/>
        </w:rPr>
        <w:t>2015</w:t>
      </w:r>
      <w:r w:rsidRPr="00F84C82">
        <w:rPr>
          <w:rFonts w:ascii="微软雅黑" w:eastAsia="微软雅黑" w:hAnsi="微软雅黑" w:cs="宋体" w:hint="eastAsia"/>
          <w:color w:val="000000"/>
          <w:kern w:val="0"/>
          <w:sz w:val="27"/>
          <w:szCs w:val="27"/>
        </w:rPr>
        <w:t>〕</w:t>
      </w:r>
      <w:r w:rsidRPr="00F84C82">
        <w:rPr>
          <w:rFonts w:ascii="微软雅黑" w:eastAsia="微软雅黑" w:hAnsi="微软雅黑" w:cs="宋体"/>
          <w:color w:val="000000"/>
          <w:kern w:val="0"/>
          <w:sz w:val="27"/>
          <w:szCs w:val="27"/>
        </w:rPr>
        <w:lastRenderedPageBreak/>
        <w:t>42</w:t>
      </w:r>
      <w:r w:rsidRPr="00F84C82">
        <w:rPr>
          <w:rFonts w:ascii="微软雅黑" w:eastAsia="微软雅黑" w:hAnsi="微软雅黑" w:cs="宋体" w:hint="eastAsia"/>
          <w:color w:val="000000"/>
          <w:kern w:val="0"/>
          <w:sz w:val="27"/>
          <w:szCs w:val="27"/>
        </w:rPr>
        <w:t>号）、《基础设施和公用事业特许经营管理办法》（国家发改委</w:t>
      </w:r>
      <w:r w:rsidRPr="00F84C82">
        <w:rPr>
          <w:rFonts w:ascii="微软雅黑" w:eastAsia="微软雅黑" w:hAnsi="微软雅黑" w:cs="宋体"/>
          <w:color w:val="000000"/>
          <w:kern w:val="0"/>
          <w:sz w:val="27"/>
          <w:szCs w:val="27"/>
        </w:rPr>
        <w:t>2015</w:t>
      </w:r>
      <w:r w:rsidRPr="00F84C82">
        <w:rPr>
          <w:rFonts w:ascii="微软雅黑" w:eastAsia="微软雅黑" w:hAnsi="微软雅黑" w:cs="宋体" w:hint="eastAsia"/>
          <w:color w:val="000000"/>
          <w:kern w:val="0"/>
          <w:sz w:val="27"/>
          <w:szCs w:val="27"/>
        </w:rPr>
        <w:t>年第</w:t>
      </w:r>
      <w:r w:rsidRPr="00F84C82">
        <w:rPr>
          <w:rFonts w:ascii="微软雅黑" w:eastAsia="微软雅黑" w:hAnsi="微软雅黑" w:cs="宋体"/>
          <w:color w:val="000000"/>
          <w:kern w:val="0"/>
          <w:sz w:val="27"/>
          <w:szCs w:val="27"/>
        </w:rPr>
        <w:t>25</w:t>
      </w:r>
      <w:r w:rsidRPr="00F84C82">
        <w:rPr>
          <w:rFonts w:ascii="微软雅黑" w:eastAsia="微软雅黑" w:hAnsi="微软雅黑" w:cs="宋体" w:hint="eastAsia"/>
          <w:color w:val="000000"/>
          <w:kern w:val="0"/>
          <w:sz w:val="27"/>
          <w:szCs w:val="27"/>
        </w:rPr>
        <w:t>号令）的有关要求，在基础设施建设、公共产品和服务供给等方面，积极引入央企、地方国企和民营企业等各类投资主体，切实推进基础设施特许经营、公共产品定价和政府购买服务等体制机制改革，用好各项支持政策，多措并举吸引社会资本参与新区公共产品和服务项目的投资、运营和管理。</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三、各相关省（区、市）发展改革部门要深化与开发银行等金融机构的沟通合作，及时共享新区发展的政策措施及项目信息，支持新区与金融机构共同设立产业引导基金、风险缓释基金等各类基金，支持新区符合条件的企业通过发行企业债券、项目收益债券、保险信托计划等多种融资方式筹集建设资金，协调解决项目立项、融资、建设中存在的问题和困难，为新区项目融资工作顺利推进创造条件。研究利用中央预算内投资、银行资金等建立股权投资引导基金，吸引社会投资支持新区建设。</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四、开发银行要积极支持和参与新区规划编制工作，根据需要组织编制新区融资规划，注重做好融资规划与新区发展规划（方案）、城乡规划、土地利用总体规划和基础设施、生态环保等专项规划等衔接，推动“多规融合”。要通过提供融资规划、融资顾问、财务顾问等融智服务，在新区年度融资安排、政府综合财务报告、政府性债务控制与重组、融资平台转型发展、政府与社会资本合作模式搭建等方面协助新区做好投融资顶层设计，推动新区加快投融资体制改革。</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lastRenderedPageBreak/>
        <w:t xml:space="preserve">　　五、开发银行要充分运用开发性金融中长期融资优势和投资、贷款、债券、租赁、证券等综合金融服务优势，建设新区发展重点项目库，加大新区信贷规模投放和融资模式创新力度，加快推进</w:t>
      </w:r>
      <w:r w:rsidRPr="00F84C82">
        <w:rPr>
          <w:rFonts w:ascii="微软雅黑" w:eastAsia="微软雅黑" w:hAnsi="微软雅黑" w:cs="宋体"/>
          <w:color w:val="000000"/>
          <w:kern w:val="0"/>
          <w:sz w:val="27"/>
          <w:szCs w:val="27"/>
        </w:rPr>
        <w:t>PPP</w:t>
      </w:r>
      <w:r w:rsidRPr="00F84C82">
        <w:rPr>
          <w:rFonts w:ascii="微软雅黑" w:eastAsia="微软雅黑" w:hAnsi="微软雅黑" w:cs="宋体" w:hint="eastAsia"/>
          <w:color w:val="000000"/>
          <w:kern w:val="0"/>
          <w:sz w:val="27"/>
          <w:szCs w:val="27"/>
        </w:rPr>
        <w:t>模式、政府采购模式，对于符合条件的重点项目，给予积极支持。继续推广债贷组合、投贷结合、租贷组合、资产证券化等模式，引导基金、贷款、债券、保险、信托等各类金融资金广泛参与新区基础设施建设、公共产品和服务供给，推动新区建立多元化、可持续的资金保障机制。</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六、开发银行将充分利用客户资源优势，建立新区与社会资本合作的桥梁和纽带，支持新区基础设施建设、公共产品和服务供给，并根据新区发展规划（方案），结合当地资源禀赋，推动竞争力强、社会效益好的境内外企业和具有发展前景的产业进入新区，进一步提升新区产业层次和水平。</w:t>
      </w:r>
    </w:p>
    <w:p w:rsidR="00F84C82" w:rsidRPr="00F84C82" w:rsidRDefault="00F84C82" w:rsidP="00F84C82">
      <w:pPr>
        <w:widowControl/>
        <w:shd w:val="clear" w:color="auto" w:fill="FFFFFF"/>
        <w:spacing w:line="420" w:lineRule="atLeast"/>
        <w:jc w:val="lef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 xml:space="preserve">　　七、各相关省（区、市）发展改革部门、新区管委会、开发银行各相关分行要加强协调，紧密配合，共同推进新区建设，及时将各地工作进展和建议分别报送至国家发展改革委和国家开发银行总行。</w:t>
      </w:r>
    </w:p>
    <w:p w:rsidR="00F84C82" w:rsidRPr="00F84C82" w:rsidRDefault="00F84C82" w:rsidP="00F84C82">
      <w:pPr>
        <w:widowControl/>
        <w:shd w:val="clear" w:color="auto" w:fill="FFFFFF"/>
        <w:spacing w:line="420" w:lineRule="atLeast"/>
        <w:jc w:val="righ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国家发展改革委</w:t>
      </w:r>
    </w:p>
    <w:p w:rsidR="00F84C82" w:rsidRPr="00F84C82" w:rsidRDefault="00F84C82" w:rsidP="00F84C82">
      <w:pPr>
        <w:widowControl/>
        <w:shd w:val="clear" w:color="auto" w:fill="FFFFFF"/>
        <w:spacing w:line="420" w:lineRule="atLeast"/>
        <w:jc w:val="right"/>
        <w:rPr>
          <w:rFonts w:ascii="微软雅黑" w:eastAsia="微软雅黑" w:hAnsi="微软雅黑" w:cs="宋体"/>
          <w:color w:val="000000"/>
          <w:kern w:val="0"/>
          <w:sz w:val="27"/>
          <w:szCs w:val="27"/>
        </w:rPr>
      </w:pPr>
      <w:r w:rsidRPr="00F84C82">
        <w:rPr>
          <w:rFonts w:ascii="微软雅黑" w:eastAsia="微软雅黑" w:hAnsi="微软雅黑" w:cs="宋体" w:hint="eastAsia"/>
          <w:color w:val="000000"/>
          <w:kern w:val="0"/>
          <w:sz w:val="27"/>
          <w:szCs w:val="27"/>
        </w:rPr>
        <w:t>国家开发银行</w:t>
      </w:r>
    </w:p>
    <w:p w:rsidR="00F84C82" w:rsidRPr="00F84C82" w:rsidRDefault="00F84C82" w:rsidP="00F84C82">
      <w:pPr>
        <w:widowControl/>
        <w:shd w:val="clear" w:color="auto" w:fill="FFFFFF"/>
        <w:spacing w:line="420" w:lineRule="atLeast"/>
        <w:jc w:val="right"/>
        <w:rPr>
          <w:rFonts w:ascii="微软雅黑" w:eastAsia="微软雅黑" w:hAnsi="微软雅黑" w:cs="宋体"/>
          <w:color w:val="000000"/>
          <w:kern w:val="0"/>
          <w:sz w:val="27"/>
          <w:szCs w:val="27"/>
        </w:rPr>
      </w:pPr>
      <w:r w:rsidRPr="00F84C82">
        <w:rPr>
          <w:rFonts w:ascii="微软雅黑" w:eastAsia="微软雅黑" w:hAnsi="微软雅黑" w:cs="宋体"/>
          <w:color w:val="000000"/>
          <w:kern w:val="0"/>
          <w:sz w:val="27"/>
          <w:szCs w:val="27"/>
        </w:rPr>
        <w:t>2015</w:t>
      </w:r>
      <w:r w:rsidRPr="00F84C82">
        <w:rPr>
          <w:rFonts w:ascii="微软雅黑" w:eastAsia="微软雅黑" w:hAnsi="微软雅黑" w:cs="宋体" w:hint="eastAsia"/>
          <w:color w:val="000000"/>
          <w:kern w:val="0"/>
          <w:sz w:val="27"/>
          <w:szCs w:val="27"/>
        </w:rPr>
        <w:t>年</w:t>
      </w:r>
      <w:r w:rsidRPr="00F84C82">
        <w:rPr>
          <w:rFonts w:ascii="微软雅黑" w:eastAsia="微软雅黑" w:hAnsi="微软雅黑" w:cs="宋体"/>
          <w:color w:val="000000"/>
          <w:kern w:val="0"/>
          <w:sz w:val="27"/>
          <w:szCs w:val="27"/>
        </w:rPr>
        <w:t>7</w:t>
      </w:r>
      <w:r w:rsidRPr="00F84C82">
        <w:rPr>
          <w:rFonts w:ascii="微软雅黑" w:eastAsia="微软雅黑" w:hAnsi="微软雅黑" w:cs="宋体" w:hint="eastAsia"/>
          <w:color w:val="000000"/>
          <w:kern w:val="0"/>
          <w:sz w:val="27"/>
          <w:szCs w:val="27"/>
        </w:rPr>
        <w:t>月</w:t>
      </w:r>
      <w:r w:rsidRPr="00F84C82">
        <w:rPr>
          <w:rFonts w:ascii="微软雅黑" w:eastAsia="微软雅黑" w:hAnsi="微软雅黑" w:cs="宋体"/>
          <w:color w:val="000000"/>
          <w:kern w:val="0"/>
          <w:sz w:val="27"/>
          <w:szCs w:val="27"/>
        </w:rPr>
        <w:t>10</w:t>
      </w:r>
      <w:r w:rsidRPr="00F84C82">
        <w:rPr>
          <w:rFonts w:ascii="微软雅黑" w:eastAsia="微软雅黑" w:hAnsi="微软雅黑" w:cs="宋体" w:hint="eastAsia"/>
          <w:color w:val="000000"/>
          <w:kern w:val="0"/>
          <w:sz w:val="27"/>
          <w:szCs w:val="27"/>
        </w:rPr>
        <w:t>日</w:t>
      </w:r>
    </w:p>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 w:rsidR="00F84C82" w:rsidRDefault="00F84C82" w:rsidP="00F84C82">
      <w:pPr>
        <w:pStyle w:val="3"/>
        <w:jc w:val="center"/>
        <w:rPr>
          <w:sz w:val="30"/>
          <w:szCs w:val="30"/>
        </w:rPr>
      </w:pPr>
      <w:bookmarkStart w:id="137" w:name="_Toc12864288"/>
      <w:r w:rsidRPr="00F84C82">
        <w:rPr>
          <w:rFonts w:hint="eastAsia"/>
          <w:sz w:val="30"/>
          <w:szCs w:val="30"/>
        </w:rPr>
        <w:lastRenderedPageBreak/>
        <w:t>国家发展改革委关于印发促进产业集群发展的若干意见的通知（发改企业〔</w:t>
      </w:r>
      <w:r w:rsidRPr="00F84C82">
        <w:rPr>
          <w:rFonts w:hint="eastAsia"/>
          <w:sz w:val="30"/>
          <w:szCs w:val="30"/>
        </w:rPr>
        <w:t>2007</w:t>
      </w:r>
      <w:r w:rsidRPr="00F84C82">
        <w:rPr>
          <w:rFonts w:hint="eastAsia"/>
          <w:sz w:val="30"/>
          <w:szCs w:val="30"/>
        </w:rPr>
        <w:t>〕</w:t>
      </w:r>
      <w:r w:rsidRPr="00F84C82">
        <w:rPr>
          <w:rFonts w:hint="eastAsia"/>
          <w:sz w:val="30"/>
          <w:szCs w:val="30"/>
        </w:rPr>
        <w:t>2897</w:t>
      </w:r>
      <w:r w:rsidRPr="00F84C82">
        <w:rPr>
          <w:rFonts w:hint="eastAsia"/>
          <w:sz w:val="30"/>
          <w:szCs w:val="30"/>
        </w:rPr>
        <w:t>号）</w:t>
      </w:r>
      <w:bookmarkEnd w:id="137"/>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各省、自治区、直辖市及计划单列市、副省级省会城市、新疆生产建设兵团</w:t>
      </w:r>
      <w:hyperlink r:id="rId154" w:tgtFrame="_blank" w:tooltip="发展" w:history="1">
        <w:r w:rsidRPr="00F84C82">
          <w:rPr>
            <w:rFonts w:ascii="微软雅黑" w:eastAsia="微软雅黑" w:hAnsi="微软雅黑"/>
            <w:color w:val="000000"/>
          </w:rPr>
          <w:t>发展</w:t>
        </w:r>
      </w:hyperlink>
      <w:r w:rsidRPr="00F84C82">
        <w:rPr>
          <w:rFonts w:ascii="微软雅黑" w:eastAsia="微软雅黑" w:hAnsi="微软雅黑"/>
          <w:color w:val="000000"/>
          <w:sz w:val="27"/>
          <w:szCs w:val="27"/>
        </w:rPr>
        <w:t>改革委、经贸委（经委）、中小企业局（厅、办）：</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为积极实施中小企业成长工程，促进</w:t>
      </w:r>
      <w:hyperlink r:id="rId155" w:tgtFrame="_blank" w:tooltip="产业集群" w:history="1">
        <w:r w:rsidRPr="00F84C82">
          <w:rPr>
            <w:rFonts w:ascii="微软雅黑" w:eastAsia="微软雅黑" w:hAnsi="微软雅黑"/>
            <w:color w:val="000000"/>
          </w:rPr>
          <w:t>产业集群</w:t>
        </w:r>
      </w:hyperlink>
      <w:r w:rsidRPr="00F84C82">
        <w:rPr>
          <w:rFonts w:ascii="微软雅黑" w:eastAsia="微软雅黑" w:hAnsi="微软雅黑"/>
          <w:color w:val="000000"/>
          <w:sz w:val="27"/>
          <w:szCs w:val="27"/>
        </w:rPr>
        <w:t>又好又快发展，按照《国务院关于鼓励支持和引导个体私营等非公有制经济发展的</w:t>
      </w:r>
      <w:hyperlink r:id="rId156" w:tgtFrame="_blank" w:tooltip="若干意见" w:history="1">
        <w:r w:rsidRPr="00F84C82">
          <w:rPr>
            <w:rFonts w:ascii="微软雅黑" w:eastAsia="微软雅黑" w:hAnsi="微软雅黑"/>
            <w:color w:val="000000"/>
          </w:rPr>
          <w:t>若干意见</w:t>
        </w:r>
      </w:hyperlink>
      <w:r w:rsidRPr="00F84C82">
        <w:rPr>
          <w:rFonts w:ascii="微软雅黑" w:eastAsia="微软雅黑" w:hAnsi="微软雅黑"/>
          <w:color w:val="000000"/>
          <w:sz w:val="27"/>
          <w:szCs w:val="27"/>
        </w:rPr>
        <w:t>》和《国民经济和社会发展第十一个五年规划纲要》的要求，我们研究制定了《关于促进产业集群发展的若干意见》。现印发给你们，请结合实际贯彻落实，并将有关情况及时上报我委。</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附件:关于促进产业集群发展的若干意见</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中华人民共和国国家发展和改革委员会</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二〇〇七年十一月十三日</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w:t>
      </w:r>
      <w:r w:rsidRPr="00F84C82">
        <w:rPr>
          <w:rFonts w:ascii="微软雅黑" w:eastAsia="微软雅黑" w:hAnsi="微软雅黑"/>
          <w:b/>
          <w:bCs/>
          <w:color w:val="000000"/>
        </w:rPr>
        <w:t>主题词：</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产业　发展　意见　通知</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附件：</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lastRenderedPageBreak/>
        <w:t xml:space="preserve">　　</w:t>
      </w:r>
      <w:r w:rsidRPr="00F84C82">
        <w:rPr>
          <w:rFonts w:ascii="微软雅黑" w:eastAsia="微软雅黑" w:hAnsi="微软雅黑"/>
          <w:b/>
          <w:bCs/>
          <w:color w:val="000000"/>
        </w:rPr>
        <w:t>国家发展改革委关于促进产业集群发展的若干意见</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改革开放以来，我国产业集群发展迅速，在促进经济社会发展中发挥着越来越重要的作用，但也存在一些急需研究解决的问题。为促进产业集群又好又快发展，大力实施中小企业成长工程，按照《国务院关于鼓励支持和引导个体私营等非公有制经济发展的若干意见》和《国民经济和社会发展第十一个五年规划纲要》要求，现提出如下意见：</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w:t>
      </w:r>
      <w:r w:rsidRPr="00F84C82">
        <w:rPr>
          <w:rFonts w:ascii="微软雅黑" w:eastAsia="微软雅黑" w:hAnsi="微软雅黑"/>
          <w:b/>
          <w:bCs/>
          <w:color w:val="000000"/>
        </w:rPr>
        <w:t>一、我国产业集群发展现状与存在问题</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改革开放以来特别是近年来，产业集群已成为我国区域经济发展的重要产业组织形式和载体。随着国家统筹区域发展战略的实施和区域经济结构调整步伐加快，目前，东部沿海省市产业集群已占到本区域工业增加值的50%以上，中西部地区产业集群发展迅速，东北地区装备制造业集群优势日益显现。同时，产业集群覆盖了纺织、服装、皮革、五金制品、工艺美术等大部分传统行业，在信息技术、生物工程、新材料以及文化创意产业等高新技术领域加速发展，并涌现出一批龙头骨干企业和区域品牌。</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实践表明，产业集群在强化专业化分工、发挥协作配套效应、降低创新成本、优化生产要素配置等方面作用显著，是工业化发展到一定阶段的必然趋势。引导和促进产业集群发展，有利于优化经济结构，转变经济发展方式；有利于集约使用土地等资源，集中进行环境治理；</w:t>
      </w:r>
      <w:r w:rsidRPr="00F84C82">
        <w:rPr>
          <w:rFonts w:ascii="微软雅黑" w:eastAsia="微软雅黑" w:hAnsi="微软雅黑"/>
          <w:color w:val="000000"/>
          <w:sz w:val="27"/>
          <w:szCs w:val="27"/>
        </w:rPr>
        <w:lastRenderedPageBreak/>
        <w:t>有利于带动中小企业发展，提升区域和产业竞争力；有利于统筹区域和城乡发展，加快工业化和城镇化进程，对于实现全面建设小康社会目标和社会主义和谐社会建设具有十分重要的意义。</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当前，产业集群发展过程中也存在一些值得注意和需要解决的问题，主要是：对产业集群发展缺乏整体规划和引导，一些地区盲目搞园区建设、铺摊子、上项目，导致地区分割、资源浪费严重；部分产业集群以贴牌生产为主，技术含量较低，产业链不完善，自主品牌和创新能力缺乏；社会化服务体系不健全，特别是对产业集群配套的生产性服务业发展滞后，有些对分散排放没有集中治理，环境污染严重，有些落后生产能力在产业转移中没有依法淘汰。为解决上述问题，研究提出《促进产业集群发展的若干意见》。</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w:t>
      </w:r>
      <w:r w:rsidRPr="00F84C82">
        <w:rPr>
          <w:rFonts w:ascii="微软雅黑" w:eastAsia="微软雅黑" w:hAnsi="微软雅黑"/>
          <w:b/>
          <w:bCs/>
          <w:color w:val="000000"/>
        </w:rPr>
        <w:t>二、促进产业集群发展的总体思路和措施</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w:t>
      </w:r>
      <w:r w:rsidRPr="00F84C82">
        <w:rPr>
          <w:rFonts w:ascii="微软雅黑" w:eastAsia="微软雅黑" w:hAnsi="微软雅黑"/>
          <w:b/>
          <w:bCs/>
          <w:color w:val="000000"/>
        </w:rPr>
        <w:t>促进</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产业集群发展，必须牢固树立和落实科学发展观，切实把产业集群发展和转变经济发展方式、促进结构调整和产业升级、推进技术进步、实现节能减排有机结合起来，加强科学规划引导，优化产业集聚环境，突出优势和特色，提高专业化协作水平，增强自主创新能力，加强资源节约和环境保护，培育和发展一批特色明显、结构优化、体系完整、</w:t>
      </w:r>
      <w:r w:rsidRPr="00F84C82">
        <w:rPr>
          <w:rFonts w:ascii="微软雅黑" w:eastAsia="微软雅黑" w:hAnsi="微软雅黑"/>
          <w:color w:val="000000"/>
          <w:sz w:val="27"/>
          <w:szCs w:val="27"/>
        </w:rPr>
        <w:lastRenderedPageBreak/>
        <w:t>环境友好和市场竞争力强的产业集群,切实推动产业集群转入科学发展轨道。</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一）加强科学规划，优化区域和产业布局。严格贯彻《产业结构调整指导目录》和国家产业政策，遵循产业集群形成、演进、升级的内在规律，准确把握产业集群不同发展阶段特征，结合区域优势和特色，科学规划，合理布局，统筹区域协调发展，提升产业集群整体优势。推进东部加工制造型产业集群向创新型集群发展，加快提升在全球价值链中的分工地位。以特色产业和自然资源为突破口，主动承接发达地区产业转移，延伸产业链条，加快中西部地区产业集群发展。健全体制机制，发展专业化协作配套，促进东北地区等老工业基地形成一批新型装备制造业集群。在具备条件的中心城市适度发展文化、创意设计等新兴集群，促进现代服务业集聚发展，着力发展一批具有国际竞争力、在同行业中具有较大影响的高技术产业集群。</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二）坚持节约发展，提高土地等资源利用效率。按照布局合理、土地集约、生态环保原则，充分利用现有资源和条件，改善交通、电力、给排水、污染治理等基础设施水平，加快产业集中区建设。整合提升各类开发区（包括经济开发区、高新区和工业园区等），促进特色产业集聚发展。依法搞好土地整理，推进土地资源整合，盘活土地存量，用地指标优先向优势产业集群倾斜。合理规划土地使用方向，优先满足环保型科技型企业小规模用地需求，为企业集聚发展提供必要空间。</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lastRenderedPageBreak/>
        <w:t xml:space="preserve">　　（三）壮大龙头企业，提高专业化协作水平。积极培育关联度大、带动性强的龙头企业，发挥其产品辐射、技术示范、信息扩散和销售网络中的“领头羊”作用。引导龙头企业采用多种方式，剥离专业化强的零部件和生产工艺，发展专业化配套企业，提高企业间专业化协作水平。支持热处理、电镀等工艺专业化企业发展，加快解决产业链薄弱环节。支持符合产业发展方向、具有相关配套条件的企业实施自主知识产权的产业化，促进产业链延伸。</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四）增强自主创新能力，提升产业层次。鼓励企业在产品设计、生产制造等环节采用先进信息技术，提升工业设计水平，大力推广应用先进制造技术，促进传统产业集群加快由委托加工（OEM）向自主设计加工（ODM）、自主品牌生产（OBM）转变。引导企业采用国内外先进技术标准，主动接轨国际制造业标准体系，推进产品国际标准认证，支持企业参与国家和国际标准制订和修订。鼓励科研院所和产业集群加强产学研联合，积极吸引跨国公司以及优势企业在产业集群设立制造基地、研发中心、采购中心和地区总部。严厉打击假冒伪劣行为，保护技术创新成果，保护诚实守信者，形成良好的市场秩序和创新氛围。</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五）切实推进发展循环经济和生态型工业。选择若干产业集群开展循环经济试点，建立产业集聚区内物质能量循环利用网络，发展生态型工业和生态型工业园区。贯彻实施《清洁生产促进法》和《节约能源法》等法律法规，通过清洁生产、资源节约、污染治理和淘汰落后</w:t>
      </w:r>
      <w:r w:rsidRPr="00F84C82">
        <w:rPr>
          <w:rFonts w:ascii="微软雅黑" w:eastAsia="微软雅黑" w:hAnsi="微软雅黑"/>
          <w:color w:val="000000"/>
          <w:sz w:val="27"/>
          <w:szCs w:val="27"/>
        </w:rPr>
        <w:lastRenderedPageBreak/>
        <w:t>等手段，推动高消耗高污染型产业集群向资源节约和生态环保型转变。加强对废旧物资回收利用集群污染综合整治。对于排放集中、污染严重的产业集聚区，探索集中治理方式，推广节能减排共性技术，降低企业治理成本。</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六）大力实施品牌战略，积极培育区域品牌。把企业品牌和区域品牌建设有机结合，重点发展一批技术含量高、市场潜力大的名牌产品和企业，支持有条件的企业和产品争创国际知名品牌。支持产业集群以品牌共享为基础，大力培育区域产业品牌（集体品牌或集体商标、原产地注册等）。鼓励有关商会、协会或其他中介组织提出地理标志产品和出口企业地理标志产品的保护申请，依法申请注册集体商标。有条件的产业集群可以发展工业旅游和产业旅游，提高区域品牌的知名度和美誉度。</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七）大力发展生产性服务业，健全社会服务体系。在发展制造业的同时，加快发展金融、信息和商务等生产性服务业。在规模较大的产业集群中，按照“政府推动、市场运作、自主经营、有偿服务”原则，重点支持研发中心、检测中心等公共服务机构建设，构筑第三方信息服务平台。发展一批以特色产业为依托的商品批发市场，加快建立社会化、专业化现代物流服务网络体系。依托产业集群建立职业技术学院和技工学校，引进国内外职业培训机构，加强职业教育。引导和推动在产业集群内依法组建行业协会（商会、同业公会等）。</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lastRenderedPageBreak/>
        <w:t xml:space="preserve">　　（八）规范引导区域产业转移。要加强对产业转移的引导，结合区域资源环境承载能力、发展基础和潜力，按照减少资源跨区域大规模调动的原则，鼓励符合国家产业政策和能够发挥区域优势特色的生产能力向中西部地区转移。在产业转移过程中，必须严格执行国家产业政策、行业规划和市场准入条件，坚持“不污染环境、不破坏资源、不搞低水平重复建设”的原则，禁止“两高一资”和已明令禁止的落后生产能力转移，切实加强监督和检查。</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w:t>
      </w:r>
      <w:r w:rsidRPr="00F84C82">
        <w:rPr>
          <w:rFonts w:ascii="微软雅黑" w:eastAsia="微软雅黑" w:hAnsi="微软雅黑"/>
          <w:b/>
          <w:bCs/>
          <w:color w:val="000000"/>
        </w:rPr>
        <w:t>三、加强组织领导，切实搞好产业集群工作</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一）加强对产业集群工作的宏观指导。要充分认识产业集群的重要作用，把发展产业集群作为推动转变经济发展方式的重要途径，建立和完善促进产业集群发展的工作协调机制，切实加强对产业集群发展的宏观管理、规划引导和协调服务。要组织研究制定本区域重点产业集群发展战略和规划，并纳入各级规划体系。加强对产业集群培训力度，建立产业集群信息交流平台。建立健全产业集群的统计监测体系。</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二）加大对产业集群财政和金融支持力度。统筹政府相关部门政策手段，形成共同扶持产业集群发展的合力。现有各项财政专项资金要向产业集群公共服务平台和龙头企业倾斜，有条件的地区可设立产业集群发展专项资金，重点用于产业集群发展环境建设。加强产业集群与各类金融机构的对接与合作，搭建产业集群新型融资平台。充分发挥国家开发性金融在县域经济发展中的作用，完善对外投资、进出口信贷</w:t>
      </w:r>
      <w:r w:rsidRPr="00F84C82">
        <w:rPr>
          <w:rFonts w:ascii="微软雅黑" w:eastAsia="微软雅黑" w:hAnsi="微软雅黑"/>
          <w:color w:val="000000"/>
          <w:sz w:val="27"/>
          <w:szCs w:val="27"/>
        </w:rPr>
        <w:lastRenderedPageBreak/>
        <w:t>和出口信用保险等支持措施。开展以产业集群中小企业发行集合式企业债券等方式进入资本市场的探索。</w:t>
      </w:r>
    </w:p>
    <w:p w:rsidR="00F84C82" w:rsidRPr="00F84C82" w:rsidRDefault="00F84C82" w:rsidP="00F84C82">
      <w:pPr>
        <w:pStyle w:val="a8"/>
        <w:shd w:val="clear" w:color="auto" w:fill="FFFFFF"/>
        <w:spacing w:before="480" w:beforeAutospacing="0" w:after="0" w:afterAutospacing="0" w:line="480" w:lineRule="atLeast"/>
        <w:ind w:firstLine="480"/>
        <w:jc w:val="both"/>
        <w:rPr>
          <w:rFonts w:ascii="微软雅黑" w:eastAsia="微软雅黑" w:hAnsi="微软雅黑"/>
          <w:color w:val="000000"/>
          <w:sz w:val="27"/>
          <w:szCs w:val="27"/>
        </w:rPr>
      </w:pPr>
      <w:r w:rsidRPr="00F84C82">
        <w:rPr>
          <w:rFonts w:ascii="微软雅黑" w:eastAsia="微软雅黑" w:hAnsi="微软雅黑"/>
          <w:color w:val="000000"/>
          <w:sz w:val="27"/>
          <w:szCs w:val="27"/>
        </w:rPr>
        <w:t xml:space="preserve">　　（三）推动重点产业集群示范建设。各地要选择一批具备条件的产业集群作为工作重点，加强调查研究，发挥其在产业升级、服务平台建设等方面的示范引导作用。要按照规划科学、布局合理、技术先进、环境友好等方面要求，在全国推动一批重点产业集群示范建设，支持一批产业集群环境建设项目，促进产业集群做强做大。</w:t>
      </w:r>
    </w:p>
    <w:p w:rsidR="00F84C82" w:rsidRPr="00F84C82" w:rsidRDefault="00F84C82" w:rsidP="00F84C82"/>
    <w:sectPr w:rsidR="00F84C82" w:rsidRPr="00F84C82" w:rsidSect="00E02FF6">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B70" w:rsidRDefault="005C4B70" w:rsidP="00E02FF6">
      <w:r>
        <w:separator/>
      </w:r>
    </w:p>
  </w:endnote>
  <w:endnote w:type="continuationSeparator" w:id="0">
    <w:p w:rsidR="005C4B70" w:rsidRDefault="005C4B70" w:rsidP="00E02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B70" w:rsidRDefault="005C4B70" w:rsidP="00E02FF6">
      <w:r>
        <w:separator/>
      </w:r>
    </w:p>
  </w:footnote>
  <w:footnote w:type="continuationSeparator" w:id="0">
    <w:p w:rsidR="005C4B70" w:rsidRDefault="005C4B70" w:rsidP="00E02F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3283"/>
    <w:multiLevelType w:val="multilevel"/>
    <w:tmpl w:val="30964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B64C05"/>
    <w:multiLevelType w:val="hybridMultilevel"/>
    <w:tmpl w:val="5EE051A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011882"/>
    <w:multiLevelType w:val="hybridMultilevel"/>
    <w:tmpl w:val="BE20510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43704D9"/>
    <w:multiLevelType w:val="hybridMultilevel"/>
    <w:tmpl w:val="3300CDB8"/>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
    <w:nsid w:val="3A9D5A56"/>
    <w:multiLevelType w:val="hybridMultilevel"/>
    <w:tmpl w:val="317232BA"/>
    <w:lvl w:ilvl="0" w:tplc="739490D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EE4728"/>
    <w:multiLevelType w:val="hybridMultilevel"/>
    <w:tmpl w:val="23943AC4"/>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nsid w:val="4B6810E3"/>
    <w:multiLevelType w:val="hybridMultilevel"/>
    <w:tmpl w:val="2806D2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C43749C"/>
    <w:multiLevelType w:val="hybridMultilevel"/>
    <w:tmpl w:val="B07C039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F943443"/>
    <w:multiLevelType w:val="hybridMultilevel"/>
    <w:tmpl w:val="61DCB406"/>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nsid w:val="50B745D6"/>
    <w:multiLevelType w:val="hybridMultilevel"/>
    <w:tmpl w:val="B8483252"/>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nsid w:val="56E25473"/>
    <w:multiLevelType w:val="hybridMultilevel"/>
    <w:tmpl w:val="F7E0D1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44E5533"/>
    <w:multiLevelType w:val="hybridMultilevel"/>
    <w:tmpl w:val="A4AA78A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06E6F0F"/>
    <w:multiLevelType w:val="hybridMultilevel"/>
    <w:tmpl w:val="D772BF7A"/>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73BE0DC1"/>
    <w:multiLevelType w:val="hybridMultilevel"/>
    <w:tmpl w:val="9A0C6554"/>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nsid w:val="77183101"/>
    <w:multiLevelType w:val="hybridMultilevel"/>
    <w:tmpl w:val="79926646"/>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4"/>
  </w:num>
  <w:num w:numId="2">
    <w:abstractNumId w:val="6"/>
  </w:num>
  <w:num w:numId="3">
    <w:abstractNumId w:val="12"/>
  </w:num>
  <w:num w:numId="4">
    <w:abstractNumId w:val="8"/>
  </w:num>
  <w:num w:numId="5">
    <w:abstractNumId w:val="3"/>
  </w:num>
  <w:num w:numId="6">
    <w:abstractNumId w:val="11"/>
  </w:num>
  <w:num w:numId="7">
    <w:abstractNumId w:val="10"/>
  </w:num>
  <w:num w:numId="8">
    <w:abstractNumId w:val="7"/>
  </w:num>
  <w:num w:numId="9">
    <w:abstractNumId w:val="9"/>
  </w:num>
  <w:num w:numId="10">
    <w:abstractNumId w:val="5"/>
  </w:num>
  <w:num w:numId="11">
    <w:abstractNumId w:val="14"/>
  </w:num>
  <w:num w:numId="12">
    <w:abstractNumId w:val="13"/>
  </w:num>
  <w:num w:numId="13">
    <w:abstractNumId w:val="0"/>
  </w:num>
  <w:num w:numId="14">
    <w:abstractNumId w:val="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820"/>
    <w:rsid w:val="00014223"/>
    <w:rsid w:val="0004297C"/>
    <w:rsid w:val="00052FBC"/>
    <w:rsid w:val="00081580"/>
    <w:rsid w:val="00087849"/>
    <w:rsid w:val="000958AB"/>
    <w:rsid w:val="000C2153"/>
    <w:rsid w:val="000E7D5C"/>
    <w:rsid w:val="000F2913"/>
    <w:rsid w:val="00106FC0"/>
    <w:rsid w:val="001208F0"/>
    <w:rsid w:val="00161C0C"/>
    <w:rsid w:val="00183524"/>
    <w:rsid w:val="001A0559"/>
    <w:rsid w:val="001A6E02"/>
    <w:rsid w:val="001F7596"/>
    <w:rsid w:val="0020569F"/>
    <w:rsid w:val="002663D4"/>
    <w:rsid w:val="00267B3B"/>
    <w:rsid w:val="002746BC"/>
    <w:rsid w:val="00281EC1"/>
    <w:rsid w:val="002A7B09"/>
    <w:rsid w:val="002E34B3"/>
    <w:rsid w:val="002F119C"/>
    <w:rsid w:val="00307F05"/>
    <w:rsid w:val="00345CC3"/>
    <w:rsid w:val="00376D0B"/>
    <w:rsid w:val="00382DA0"/>
    <w:rsid w:val="00397F4F"/>
    <w:rsid w:val="003A30B8"/>
    <w:rsid w:val="003B2584"/>
    <w:rsid w:val="003B26B8"/>
    <w:rsid w:val="003C0457"/>
    <w:rsid w:val="003F3E2C"/>
    <w:rsid w:val="0043357E"/>
    <w:rsid w:val="00443922"/>
    <w:rsid w:val="004849B5"/>
    <w:rsid w:val="005065E1"/>
    <w:rsid w:val="00532C61"/>
    <w:rsid w:val="005478FC"/>
    <w:rsid w:val="00550DE9"/>
    <w:rsid w:val="00586331"/>
    <w:rsid w:val="00592AE9"/>
    <w:rsid w:val="005A123B"/>
    <w:rsid w:val="005C4B70"/>
    <w:rsid w:val="005E0922"/>
    <w:rsid w:val="00605149"/>
    <w:rsid w:val="006340E4"/>
    <w:rsid w:val="00671279"/>
    <w:rsid w:val="00674278"/>
    <w:rsid w:val="00685783"/>
    <w:rsid w:val="006A46E0"/>
    <w:rsid w:val="006C1B7F"/>
    <w:rsid w:val="006E3F4E"/>
    <w:rsid w:val="0074797D"/>
    <w:rsid w:val="00764448"/>
    <w:rsid w:val="00782865"/>
    <w:rsid w:val="0078437B"/>
    <w:rsid w:val="007D1EE4"/>
    <w:rsid w:val="007E1227"/>
    <w:rsid w:val="007F2763"/>
    <w:rsid w:val="008132E6"/>
    <w:rsid w:val="00823B83"/>
    <w:rsid w:val="008300DC"/>
    <w:rsid w:val="00832E85"/>
    <w:rsid w:val="00837062"/>
    <w:rsid w:val="00857109"/>
    <w:rsid w:val="008B1372"/>
    <w:rsid w:val="008B183A"/>
    <w:rsid w:val="008C799C"/>
    <w:rsid w:val="008F3271"/>
    <w:rsid w:val="0090050D"/>
    <w:rsid w:val="009019B6"/>
    <w:rsid w:val="00903FE5"/>
    <w:rsid w:val="00911FFE"/>
    <w:rsid w:val="009332C1"/>
    <w:rsid w:val="00951CB9"/>
    <w:rsid w:val="009903A6"/>
    <w:rsid w:val="00995820"/>
    <w:rsid w:val="009A33E8"/>
    <w:rsid w:val="009A6C1E"/>
    <w:rsid w:val="009C5669"/>
    <w:rsid w:val="00A01DA3"/>
    <w:rsid w:val="00A23127"/>
    <w:rsid w:val="00A42807"/>
    <w:rsid w:val="00AB5C58"/>
    <w:rsid w:val="00B07FCD"/>
    <w:rsid w:val="00B1020C"/>
    <w:rsid w:val="00B74E1C"/>
    <w:rsid w:val="00B81BEB"/>
    <w:rsid w:val="00B90068"/>
    <w:rsid w:val="00B95F8A"/>
    <w:rsid w:val="00BA1B3C"/>
    <w:rsid w:val="00C01B82"/>
    <w:rsid w:val="00C0622D"/>
    <w:rsid w:val="00C168D9"/>
    <w:rsid w:val="00C2794F"/>
    <w:rsid w:val="00C32132"/>
    <w:rsid w:val="00C75DD5"/>
    <w:rsid w:val="00C8719D"/>
    <w:rsid w:val="00CB0337"/>
    <w:rsid w:val="00CB4AAD"/>
    <w:rsid w:val="00CC0E49"/>
    <w:rsid w:val="00CD06A4"/>
    <w:rsid w:val="00CE1DD0"/>
    <w:rsid w:val="00D56FD7"/>
    <w:rsid w:val="00D8115D"/>
    <w:rsid w:val="00DA577C"/>
    <w:rsid w:val="00DB34B5"/>
    <w:rsid w:val="00DC086C"/>
    <w:rsid w:val="00DD6C49"/>
    <w:rsid w:val="00DE78F2"/>
    <w:rsid w:val="00DF23EF"/>
    <w:rsid w:val="00E0090B"/>
    <w:rsid w:val="00E027FF"/>
    <w:rsid w:val="00E02FF6"/>
    <w:rsid w:val="00E406A7"/>
    <w:rsid w:val="00E449B0"/>
    <w:rsid w:val="00EB03EB"/>
    <w:rsid w:val="00EC7731"/>
    <w:rsid w:val="00F1495A"/>
    <w:rsid w:val="00F3446F"/>
    <w:rsid w:val="00F84C82"/>
    <w:rsid w:val="00FA7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FF6"/>
    <w:pPr>
      <w:widowControl w:val="0"/>
      <w:jc w:val="both"/>
    </w:pPr>
  </w:style>
  <w:style w:type="paragraph" w:styleId="1">
    <w:name w:val="heading 1"/>
    <w:basedOn w:val="a"/>
    <w:next w:val="a"/>
    <w:link w:val="1Char"/>
    <w:uiPriority w:val="9"/>
    <w:qFormat/>
    <w:rsid w:val="00E02FF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02FF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02F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2F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02FF6"/>
    <w:rPr>
      <w:sz w:val="18"/>
      <w:szCs w:val="18"/>
    </w:rPr>
  </w:style>
  <w:style w:type="paragraph" w:styleId="a4">
    <w:name w:val="footer"/>
    <w:basedOn w:val="a"/>
    <w:link w:val="Char0"/>
    <w:uiPriority w:val="99"/>
    <w:unhideWhenUsed/>
    <w:rsid w:val="00E02FF6"/>
    <w:pPr>
      <w:tabs>
        <w:tab w:val="center" w:pos="4153"/>
        <w:tab w:val="right" w:pos="8306"/>
      </w:tabs>
      <w:snapToGrid w:val="0"/>
      <w:jc w:val="left"/>
    </w:pPr>
    <w:rPr>
      <w:sz w:val="18"/>
      <w:szCs w:val="18"/>
    </w:rPr>
  </w:style>
  <w:style w:type="character" w:customStyle="1" w:styleId="Char0">
    <w:name w:val="页脚 Char"/>
    <w:basedOn w:val="a0"/>
    <w:link w:val="a4"/>
    <w:uiPriority w:val="99"/>
    <w:rsid w:val="00E02FF6"/>
    <w:rPr>
      <w:sz w:val="18"/>
      <w:szCs w:val="18"/>
    </w:rPr>
  </w:style>
  <w:style w:type="character" w:customStyle="1" w:styleId="1Char">
    <w:name w:val="标题 1 Char"/>
    <w:basedOn w:val="a0"/>
    <w:link w:val="1"/>
    <w:uiPriority w:val="9"/>
    <w:rsid w:val="00E02FF6"/>
    <w:rPr>
      <w:b/>
      <w:bCs/>
      <w:kern w:val="44"/>
      <w:sz w:val="44"/>
      <w:szCs w:val="44"/>
    </w:rPr>
  </w:style>
  <w:style w:type="character" w:customStyle="1" w:styleId="2Char">
    <w:name w:val="标题 2 Char"/>
    <w:basedOn w:val="a0"/>
    <w:link w:val="2"/>
    <w:uiPriority w:val="9"/>
    <w:rsid w:val="00E02FF6"/>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E02FF6"/>
    <w:rPr>
      <w:b/>
      <w:bCs/>
      <w:sz w:val="32"/>
      <w:szCs w:val="32"/>
    </w:rPr>
  </w:style>
  <w:style w:type="paragraph" w:styleId="a5">
    <w:name w:val="List Paragraph"/>
    <w:basedOn w:val="a"/>
    <w:uiPriority w:val="34"/>
    <w:qFormat/>
    <w:rsid w:val="00E02FF6"/>
    <w:pPr>
      <w:ind w:firstLineChars="200" w:firstLine="420"/>
    </w:pPr>
  </w:style>
  <w:style w:type="paragraph" w:styleId="TOC">
    <w:name w:val="TOC Heading"/>
    <w:basedOn w:val="1"/>
    <w:next w:val="a"/>
    <w:uiPriority w:val="39"/>
    <w:unhideWhenUsed/>
    <w:qFormat/>
    <w:rsid w:val="00E02FF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6">
    <w:name w:val="Balloon Text"/>
    <w:basedOn w:val="a"/>
    <w:link w:val="Char1"/>
    <w:uiPriority w:val="99"/>
    <w:semiHidden/>
    <w:unhideWhenUsed/>
    <w:rsid w:val="00E02FF6"/>
    <w:rPr>
      <w:sz w:val="18"/>
      <w:szCs w:val="18"/>
    </w:rPr>
  </w:style>
  <w:style w:type="character" w:customStyle="1" w:styleId="Char1">
    <w:name w:val="批注框文本 Char"/>
    <w:basedOn w:val="a0"/>
    <w:link w:val="a6"/>
    <w:uiPriority w:val="99"/>
    <w:semiHidden/>
    <w:rsid w:val="00E02FF6"/>
    <w:rPr>
      <w:sz w:val="18"/>
      <w:szCs w:val="18"/>
    </w:rPr>
  </w:style>
  <w:style w:type="paragraph" w:styleId="10">
    <w:name w:val="toc 1"/>
    <w:basedOn w:val="a"/>
    <w:next w:val="a"/>
    <w:autoRedefine/>
    <w:uiPriority w:val="39"/>
    <w:unhideWhenUsed/>
    <w:qFormat/>
    <w:rsid w:val="00E02FF6"/>
  </w:style>
  <w:style w:type="character" w:styleId="a7">
    <w:name w:val="Hyperlink"/>
    <w:basedOn w:val="a0"/>
    <w:uiPriority w:val="99"/>
    <w:unhideWhenUsed/>
    <w:rsid w:val="00E02FF6"/>
    <w:rPr>
      <w:color w:val="0000FF" w:themeColor="hyperlink"/>
      <w:u w:val="single"/>
    </w:rPr>
  </w:style>
  <w:style w:type="paragraph" w:styleId="20">
    <w:name w:val="toc 2"/>
    <w:basedOn w:val="a"/>
    <w:next w:val="a"/>
    <w:autoRedefine/>
    <w:uiPriority w:val="39"/>
    <w:unhideWhenUsed/>
    <w:qFormat/>
    <w:rsid w:val="00E02FF6"/>
    <w:pPr>
      <w:ind w:leftChars="200" w:left="420"/>
    </w:pPr>
  </w:style>
  <w:style w:type="paragraph" w:styleId="30">
    <w:name w:val="toc 3"/>
    <w:basedOn w:val="a"/>
    <w:next w:val="a"/>
    <w:autoRedefine/>
    <w:uiPriority w:val="39"/>
    <w:unhideWhenUsed/>
    <w:qFormat/>
    <w:rsid w:val="00E02FF6"/>
    <w:pPr>
      <w:tabs>
        <w:tab w:val="right" w:leader="dot" w:pos="8296"/>
      </w:tabs>
      <w:ind w:leftChars="400" w:left="840"/>
    </w:pPr>
  </w:style>
  <w:style w:type="paragraph" w:customStyle="1" w:styleId="noindent">
    <w:name w:val="noindent"/>
    <w:basedOn w:val="a"/>
    <w:rsid w:val="00E02FF6"/>
    <w:pPr>
      <w:widowControl/>
      <w:spacing w:before="100" w:beforeAutospacing="1" w:after="100" w:afterAutospacing="1"/>
      <w:jc w:val="left"/>
    </w:pPr>
    <w:rPr>
      <w:rFonts w:ascii="宋体" w:eastAsia="宋体" w:hAnsi="宋体" w:cs="宋体"/>
      <w:kern w:val="0"/>
      <w:sz w:val="24"/>
      <w:szCs w:val="24"/>
    </w:rPr>
  </w:style>
  <w:style w:type="paragraph" w:styleId="a8">
    <w:name w:val="Normal (Web)"/>
    <w:basedOn w:val="a"/>
    <w:uiPriority w:val="99"/>
    <w:unhideWhenUsed/>
    <w:rsid w:val="00E02FF6"/>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E02FF6"/>
  </w:style>
  <w:style w:type="character" w:customStyle="1" w:styleId="bjh-strong">
    <w:name w:val="bjh-strong"/>
    <w:basedOn w:val="a0"/>
    <w:rsid w:val="00E02FF6"/>
  </w:style>
  <w:style w:type="character" w:styleId="a9">
    <w:name w:val="Strong"/>
    <w:basedOn w:val="a0"/>
    <w:uiPriority w:val="22"/>
    <w:qFormat/>
    <w:rsid w:val="00E02FF6"/>
    <w:rPr>
      <w:b/>
      <w:bCs/>
    </w:rPr>
  </w:style>
  <w:style w:type="character" w:styleId="aa">
    <w:name w:val="FollowedHyperlink"/>
    <w:basedOn w:val="a0"/>
    <w:uiPriority w:val="99"/>
    <w:semiHidden/>
    <w:unhideWhenUsed/>
    <w:rsid w:val="00E02FF6"/>
    <w:rPr>
      <w:color w:val="800080" w:themeColor="followedHyperlink"/>
      <w:u w:val="single"/>
    </w:rPr>
  </w:style>
  <w:style w:type="paragraph" w:customStyle="1" w:styleId="pbj1">
    <w:name w:val="pbj1"/>
    <w:basedOn w:val="a"/>
    <w:rsid w:val="00E02FF6"/>
    <w:pPr>
      <w:widowControl/>
      <w:jc w:val="left"/>
    </w:pPr>
    <w:rPr>
      <w:rFonts w:ascii="宋体" w:eastAsia="宋体" w:hAnsi="宋体" w:cs="宋体"/>
      <w:kern w:val="0"/>
      <w:sz w:val="24"/>
      <w:szCs w:val="24"/>
    </w:rPr>
  </w:style>
  <w:style w:type="paragraph" w:customStyle="1" w:styleId="zsycotitle">
    <w:name w:val="zsy_cotitle"/>
    <w:basedOn w:val="a"/>
    <w:rsid w:val="00E02FF6"/>
    <w:pPr>
      <w:widowControl/>
      <w:spacing w:before="100" w:beforeAutospacing="1" w:after="100" w:afterAutospacing="1"/>
      <w:jc w:val="left"/>
    </w:pPr>
    <w:rPr>
      <w:rFonts w:ascii="宋体" w:eastAsia="宋体" w:hAnsi="宋体" w:cs="宋体"/>
      <w:kern w:val="0"/>
      <w:sz w:val="24"/>
      <w:szCs w:val="24"/>
    </w:rPr>
  </w:style>
  <w:style w:type="character" w:customStyle="1" w:styleId="grame">
    <w:name w:val="grame"/>
    <w:basedOn w:val="a0"/>
    <w:rsid w:val="00E02FF6"/>
  </w:style>
  <w:style w:type="paragraph" w:styleId="ab">
    <w:name w:val="No Spacing"/>
    <w:link w:val="Char2"/>
    <w:uiPriority w:val="1"/>
    <w:qFormat/>
    <w:rsid w:val="00E02FF6"/>
    <w:rPr>
      <w:kern w:val="0"/>
      <w:sz w:val="22"/>
    </w:rPr>
  </w:style>
  <w:style w:type="character" w:customStyle="1" w:styleId="Char2">
    <w:name w:val="无间隔 Char"/>
    <w:basedOn w:val="a0"/>
    <w:link w:val="ab"/>
    <w:uiPriority w:val="1"/>
    <w:rsid w:val="00E02FF6"/>
    <w:rPr>
      <w:kern w:val="0"/>
      <w:sz w:val="22"/>
    </w:rPr>
  </w:style>
  <w:style w:type="paragraph" w:customStyle="1" w:styleId="p0">
    <w:name w:val="p0"/>
    <w:basedOn w:val="a"/>
    <w:rsid w:val="000E7D5C"/>
    <w:pPr>
      <w:widowControl/>
      <w:spacing w:before="100" w:beforeAutospacing="1" w:after="100" w:afterAutospacing="1"/>
      <w:jc w:val="left"/>
    </w:pPr>
    <w:rPr>
      <w:rFonts w:ascii="宋体" w:eastAsia="宋体" w:hAnsi="宋体" w:cs="宋体"/>
      <w:kern w:val="0"/>
      <w:sz w:val="24"/>
      <w:szCs w:val="24"/>
    </w:rPr>
  </w:style>
  <w:style w:type="paragraph" w:customStyle="1" w:styleId="pleftluokuan011">
    <w:name w:val="p_left_luokuan011"/>
    <w:basedOn w:val="a"/>
    <w:rsid w:val="00C01B82"/>
    <w:pPr>
      <w:widowControl/>
      <w:spacing w:before="100" w:beforeAutospacing="1" w:after="100" w:afterAutospacing="1" w:line="360" w:lineRule="atLeast"/>
      <w:jc w:val="right"/>
    </w:pPr>
    <w:rPr>
      <w:rFonts w:ascii="宋体" w:eastAsia="宋体" w:hAnsi="宋体" w:cs="宋体"/>
      <w:color w:val="403F3D"/>
      <w:kern w:val="0"/>
      <w:sz w:val="24"/>
      <w:szCs w:val="24"/>
    </w:rPr>
  </w:style>
  <w:style w:type="paragraph" w:customStyle="1" w:styleId="pleftluokuan021">
    <w:name w:val="p_left_luokuan021"/>
    <w:basedOn w:val="a"/>
    <w:rsid w:val="00C01B82"/>
    <w:pPr>
      <w:widowControl/>
      <w:spacing w:before="100" w:beforeAutospacing="1" w:after="100" w:afterAutospacing="1" w:line="360" w:lineRule="atLeast"/>
      <w:jc w:val="right"/>
    </w:pPr>
    <w:rPr>
      <w:rFonts w:ascii="宋体" w:eastAsia="宋体" w:hAnsi="宋体" w:cs="宋体"/>
      <w:color w:val="403F3D"/>
      <w:kern w:val="0"/>
      <w:sz w:val="24"/>
      <w:szCs w:val="24"/>
    </w:rPr>
  </w:style>
  <w:style w:type="paragraph" w:styleId="ac">
    <w:name w:val="Plain Text"/>
    <w:basedOn w:val="a"/>
    <w:link w:val="Char3"/>
    <w:uiPriority w:val="99"/>
    <w:semiHidden/>
    <w:unhideWhenUsed/>
    <w:rsid w:val="00B1020C"/>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纯文本 Char"/>
    <w:basedOn w:val="a0"/>
    <w:link w:val="ac"/>
    <w:uiPriority w:val="99"/>
    <w:semiHidden/>
    <w:rsid w:val="00B1020C"/>
    <w:rPr>
      <w:rFonts w:ascii="宋体" w:eastAsia="宋体" w:hAnsi="宋体" w:cs="宋体"/>
      <w:kern w:val="0"/>
      <w:sz w:val="24"/>
      <w:szCs w:val="24"/>
    </w:rPr>
  </w:style>
  <w:style w:type="character" w:customStyle="1" w:styleId="content">
    <w:name w:val="content"/>
    <w:basedOn w:val="a0"/>
    <w:rsid w:val="00B1020C"/>
  </w:style>
  <w:style w:type="paragraph" w:styleId="ad">
    <w:name w:val="Date"/>
    <w:basedOn w:val="a"/>
    <w:next w:val="a"/>
    <w:link w:val="Char4"/>
    <w:uiPriority w:val="99"/>
    <w:semiHidden/>
    <w:unhideWhenUsed/>
    <w:rsid w:val="005E0922"/>
    <w:pPr>
      <w:ind w:leftChars="2500" w:left="100"/>
    </w:pPr>
  </w:style>
  <w:style w:type="character" w:customStyle="1" w:styleId="Char4">
    <w:name w:val="日期 Char"/>
    <w:basedOn w:val="a0"/>
    <w:link w:val="ad"/>
    <w:uiPriority w:val="99"/>
    <w:semiHidden/>
    <w:rsid w:val="005E0922"/>
  </w:style>
  <w:style w:type="paragraph" w:customStyle="1" w:styleId="trseditor">
    <w:name w:val="trs_editor"/>
    <w:basedOn w:val="a"/>
    <w:rsid w:val="009019B6"/>
    <w:pPr>
      <w:widowControl/>
      <w:spacing w:before="100" w:beforeAutospacing="1" w:after="100" w:afterAutospacing="1"/>
      <w:jc w:val="left"/>
    </w:pPr>
    <w:rPr>
      <w:rFonts w:ascii="宋体" w:eastAsia="宋体" w:hAnsi="宋体" w:cs="宋体"/>
      <w:kern w:val="0"/>
      <w:sz w:val="24"/>
      <w:szCs w:val="24"/>
    </w:rPr>
  </w:style>
  <w:style w:type="paragraph" w:styleId="4">
    <w:name w:val="toc 4"/>
    <w:basedOn w:val="a"/>
    <w:next w:val="a"/>
    <w:autoRedefine/>
    <w:uiPriority w:val="39"/>
    <w:unhideWhenUsed/>
    <w:rsid w:val="002746BC"/>
    <w:pPr>
      <w:ind w:leftChars="600" w:left="1260"/>
    </w:pPr>
  </w:style>
  <w:style w:type="paragraph" w:styleId="5">
    <w:name w:val="toc 5"/>
    <w:basedOn w:val="a"/>
    <w:next w:val="a"/>
    <w:autoRedefine/>
    <w:uiPriority w:val="39"/>
    <w:unhideWhenUsed/>
    <w:rsid w:val="002746BC"/>
    <w:pPr>
      <w:ind w:leftChars="800" w:left="1680"/>
    </w:pPr>
  </w:style>
  <w:style w:type="paragraph" w:styleId="6">
    <w:name w:val="toc 6"/>
    <w:basedOn w:val="a"/>
    <w:next w:val="a"/>
    <w:autoRedefine/>
    <w:uiPriority w:val="39"/>
    <w:unhideWhenUsed/>
    <w:rsid w:val="002746BC"/>
    <w:pPr>
      <w:ind w:leftChars="1000" w:left="2100"/>
    </w:pPr>
  </w:style>
  <w:style w:type="paragraph" w:styleId="7">
    <w:name w:val="toc 7"/>
    <w:basedOn w:val="a"/>
    <w:next w:val="a"/>
    <w:autoRedefine/>
    <w:uiPriority w:val="39"/>
    <w:unhideWhenUsed/>
    <w:rsid w:val="002746BC"/>
    <w:pPr>
      <w:ind w:leftChars="1200" w:left="2520"/>
    </w:pPr>
  </w:style>
  <w:style w:type="paragraph" w:styleId="8">
    <w:name w:val="toc 8"/>
    <w:basedOn w:val="a"/>
    <w:next w:val="a"/>
    <w:autoRedefine/>
    <w:uiPriority w:val="39"/>
    <w:unhideWhenUsed/>
    <w:rsid w:val="002746BC"/>
    <w:pPr>
      <w:ind w:leftChars="1400" w:left="2940"/>
    </w:pPr>
  </w:style>
  <w:style w:type="paragraph" w:styleId="9">
    <w:name w:val="toc 9"/>
    <w:basedOn w:val="a"/>
    <w:next w:val="a"/>
    <w:autoRedefine/>
    <w:uiPriority w:val="39"/>
    <w:unhideWhenUsed/>
    <w:rsid w:val="002746BC"/>
    <w:pPr>
      <w:ind w:leftChars="1600" w:left="3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FF6"/>
    <w:pPr>
      <w:widowControl w:val="0"/>
      <w:jc w:val="both"/>
    </w:pPr>
  </w:style>
  <w:style w:type="paragraph" w:styleId="1">
    <w:name w:val="heading 1"/>
    <w:basedOn w:val="a"/>
    <w:next w:val="a"/>
    <w:link w:val="1Char"/>
    <w:uiPriority w:val="9"/>
    <w:qFormat/>
    <w:rsid w:val="00E02FF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02FF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02F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2F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02FF6"/>
    <w:rPr>
      <w:sz w:val="18"/>
      <w:szCs w:val="18"/>
    </w:rPr>
  </w:style>
  <w:style w:type="paragraph" w:styleId="a4">
    <w:name w:val="footer"/>
    <w:basedOn w:val="a"/>
    <w:link w:val="Char0"/>
    <w:uiPriority w:val="99"/>
    <w:unhideWhenUsed/>
    <w:rsid w:val="00E02FF6"/>
    <w:pPr>
      <w:tabs>
        <w:tab w:val="center" w:pos="4153"/>
        <w:tab w:val="right" w:pos="8306"/>
      </w:tabs>
      <w:snapToGrid w:val="0"/>
      <w:jc w:val="left"/>
    </w:pPr>
    <w:rPr>
      <w:sz w:val="18"/>
      <w:szCs w:val="18"/>
    </w:rPr>
  </w:style>
  <w:style w:type="character" w:customStyle="1" w:styleId="Char0">
    <w:name w:val="页脚 Char"/>
    <w:basedOn w:val="a0"/>
    <w:link w:val="a4"/>
    <w:uiPriority w:val="99"/>
    <w:rsid w:val="00E02FF6"/>
    <w:rPr>
      <w:sz w:val="18"/>
      <w:szCs w:val="18"/>
    </w:rPr>
  </w:style>
  <w:style w:type="character" w:customStyle="1" w:styleId="1Char">
    <w:name w:val="标题 1 Char"/>
    <w:basedOn w:val="a0"/>
    <w:link w:val="1"/>
    <w:uiPriority w:val="9"/>
    <w:rsid w:val="00E02FF6"/>
    <w:rPr>
      <w:b/>
      <w:bCs/>
      <w:kern w:val="44"/>
      <w:sz w:val="44"/>
      <w:szCs w:val="44"/>
    </w:rPr>
  </w:style>
  <w:style w:type="character" w:customStyle="1" w:styleId="2Char">
    <w:name w:val="标题 2 Char"/>
    <w:basedOn w:val="a0"/>
    <w:link w:val="2"/>
    <w:uiPriority w:val="9"/>
    <w:rsid w:val="00E02FF6"/>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E02FF6"/>
    <w:rPr>
      <w:b/>
      <w:bCs/>
      <w:sz w:val="32"/>
      <w:szCs w:val="32"/>
    </w:rPr>
  </w:style>
  <w:style w:type="paragraph" w:styleId="a5">
    <w:name w:val="List Paragraph"/>
    <w:basedOn w:val="a"/>
    <w:uiPriority w:val="34"/>
    <w:qFormat/>
    <w:rsid w:val="00E02FF6"/>
    <w:pPr>
      <w:ind w:firstLineChars="200" w:firstLine="420"/>
    </w:pPr>
  </w:style>
  <w:style w:type="paragraph" w:styleId="TOC">
    <w:name w:val="TOC Heading"/>
    <w:basedOn w:val="1"/>
    <w:next w:val="a"/>
    <w:uiPriority w:val="39"/>
    <w:unhideWhenUsed/>
    <w:qFormat/>
    <w:rsid w:val="00E02FF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6">
    <w:name w:val="Balloon Text"/>
    <w:basedOn w:val="a"/>
    <w:link w:val="Char1"/>
    <w:uiPriority w:val="99"/>
    <w:semiHidden/>
    <w:unhideWhenUsed/>
    <w:rsid w:val="00E02FF6"/>
    <w:rPr>
      <w:sz w:val="18"/>
      <w:szCs w:val="18"/>
    </w:rPr>
  </w:style>
  <w:style w:type="character" w:customStyle="1" w:styleId="Char1">
    <w:name w:val="批注框文本 Char"/>
    <w:basedOn w:val="a0"/>
    <w:link w:val="a6"/>
    <w:uiPriority w:val="99"/>
    <w:semiHidden/>
    <w:rsid w:val="00E02FF6"/>
    <w:rPr>
      <w:sz w:val="18"/>
      <w:szCs w:val="18"/>
    </w:rPr>
  </w:style>
  <w:style w:type="paragraph" w:styleId="10">
    <w:name w:val="toc 1"/>
    <w:basedOn w:val="a"/>
    <w:next w:val="a"/>
    <w:autoRedefine/>
    <w:uiPriority w:val="39"/>
    <w:unhideWhenUsed/>
    <w:qFormat/>
    <w:rsid w:val="00E02FF6"/>
  </w:style>
  <w:style w:type="character" w:styleId="a7">
    <w:name w:val="Hyperlink"/>
    <w:basedOn w:val="a0"/>
    <w:uiPriority w:val="99"/>
    <w:unhideWhenUsed/>
    <w:rsid w:val="00E02FF6"/>
    <w:rPr>
      <w:color w:val="0000FF" w:themeColor="hyperlink"/>
      <w:u w:val="single"/>
    </w:rPr>
  </w:style>
  <w:style w:type="paragraph" w:styleId="20">
    <w:name w:val="toc 2"/>
    <w:basedOn w:val="a"/>
    <w:next w:val="a"/>
    <w:autoRedefine/>
    <w:uiPriority w:val="39"/>
    <w:unhideWhenUsed/>
    <w:qFormat/>
    <w:rsid w:val="00E02FF6"/>
    <w:pPr>
      <w:ind w:leftChars="200" w:left="420"/>
    </w:pPr>
  </w:style>
  <w:style w:type="paragraph" w:styleId="30">
    <w:name w:val="toc 3"/>
    <w:basedOn w:val="a"/>
    <w:next w:val="a"/>
    <w:autoRedefine/>
    <w:uiPriority w:val="39"/>
    <w:unhideWhenUsed/>
    <w:qFormat/>
    <w:rsid w:val="00E02FF6"/>
    <w:pPr>
      <w:tabs>
        <w:tab w:val="right" w:leader="dot" w:pos="8296"/>
      </w:tabs>
      <w:ind w:leftChars="400" w:left="840"/>
    </w:pPr>
  </w:style>
  <w:style w:type="paragraph" w:customStyle="1" w:styleId="noindent">
    <w:name w:val="noindent"/>
    <w:basedOn w:val="a"/>
    <w:rsid w:val="00E02FF6"/>
    <w:pPr>
      <w:widowControl/>
      <w:spacing w:before="100" w:beforeAutospacing="1" w:after="100" w:afterAutospacing="1"/>
      <w:jc w:val="left"/>
    </w:pPr>
    <w:rPr>
      <w:rFonts w:ascii="宋体" w:eastAsia="宋体" w:hAnsi="宋体" w:cs="宋体"/>
      <w:kern w:val="0"/>
      <w:sz w:val="24"/>
      <w:szCs w:val="24"/>
    </w:rPr>
  </w:style>
  <w:style w:type="paragraph" w:styleId="a8">
    <w:name w:val="Normal (Web)"/>
    <w:basedOn w:val="a"/>
    <w:uiPriority w:val="99"/>
    <w:unhideWhenUsed/>
    <w:rsid w:val="00E02FF6"/>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E02FF6"/>
  </w:style>
  <w:style w:type="character" w:customStyle="1" w:styleId="bjh-strong">
    <w:name w:val="bjh-strong"/>
    <w:basedOn w:val="a0"/>
    <w:rsid w:val="00E02FF6"/>
  </w:style>
  <w:style w:type="character" w:styleId="a9">
    <w:name w:val="Strong"/>
    <w:basedOn w:val="a0"/>
    <w:uiPriority w:val="22"/>
    <w:qFormat/>
    <w:rsid w:val="00E02FF6"/>
    <w:rPr>
      <w:b/>
      <w:bCs/>
    </w:rPr>
  </w:style>
  <w:style w:type="character" w:styleId="aa">
    <w:name w:val="FollowedHyperlink"/>
    <w:basedOn w:val="a0"/>
    <w:uiPriority w:val="99"/>
    <w:semiHidden/>
    <w:unhideWhenUsed/>
    <w:rsid w:val="00E02FF6"/>
    <w:rPr>
      <w:color w:val="800080" w:themeColor="followedHyperlink"/>
      <w:u w:val="single"/>
    </w:rPr>
  </w:style>
  <w:style w:type="paragraph" w:customStyle="1" w:styleId="pbj1">
    <w:name w:val="pbj1"/>
    <w:basedOn w:val="a"/>
    <w:rsid w:val="00E02FF6"/>
    <w:pPr>
      <w:widowControl/>
      <w:jc w:val="left"/>
    </w:pPr>
    <w:rPr>
      <w:rFonts w:ascii="宋体" w:eastAsia="宋体" w:hAnsi="宋体" w:cs="宋体"/>
      <w:kern w:val="0"/>
      <w:sz w:val="24"/>
      <w:szCs w:val="24"/>
    </w:rPr>
  </w:style>
  <w:style w:type="paragraph" w:customStyle="1" w:styleId="zsycotitle">
    <w:name w:val="zsy_cotitle"/>
    <w:basedOn w:val="a"/>
    <w:rsid w:val="00E02FF6"/>
    <w:pPr>
      <w:widowControl/>
      <w:spacing w:before="100" w:beforeAutospacing="1" w:after="100" w:afterAutospacing="1"/>
      <w:jc w:val="left"/>
    </w:pPr>
    <w:rPr>
      <w:rFonts w:ascii="宋体" w:eastAsia="宋体" w:hAnsi="宋体" w:cs="宋体"/>
      <w:kern w:val="0"/>
      <w:sz w:val="24"/>
      <w:szCs w:val="24"/>
    </w:rPr>
  </w:style>
  <w:style w:type="character" w:customStyle="1" w:styleId="grame">
    <w:name w:val="grame"/>
    <w:basedOn w:val="a0"/>
    <w:rsid w:val="00E02FF6"/>
  </w:style>
  <w:style w:type="paragraph" w:styleId="ab">
    <w:name w:val="No Spacing"/>
    <w:link w:val="Char2"/>
    <w:uiPriority w:val="1"/>
    <w:qFormat/>
    <w:rsid w:val="00E02FF6"/>
    <w:rPr>
      <w:kern w:val="0"/>
      <w:sz w:val="22"/>
    </w:rPr>
  </w:style>
  <w:style w:type="character" w:customStyle="1" w:styleId="Char2">
    <w:name w:val="无间隔 Char"/>
    <w:basedOn w:val="a0"/>
    <w:link w:val="ab"/>
    <w:uiPriority w:val="1"/>
    <w:rsid w:val="00E02FF6"/>
    <w:rPr>
      <w:kern w:val="0"/>
      <w:sz w:val="22"/>
    </w:rPr>
  </w:style>
  <w:style w:type="paragraph" w:customStyle="1" w:styleId="p0">
    <w:name w:val="p0"/>
    <w:basedOn w:val="a"/>
    <w:rsid w:val="000E7D5C"/>
    <w:pPr>
      <w:widowControl/>
      <w:spacing w:before="100" w:beforeAutospacing="1" w:after="100" w:afterAutospacing="1"/>
      <w:jc w:val="left"/>
    </w:pPr>
    <w:rPr>
      <w:rFonts w:ascii="宋体" w:eastAsia="宋体" w:hAnsi="宋体" w:cs="宋体"/>
      <w:kern w:val="0"/>
      <w:sz w:val="24"/>
      <w:szCs w:val="24"/>
    </w:rPr>
  </w:style>
  <w:style w:type="paragraph" w:customStyle="1" w:styleId="pleftluokuan011">
    <w:name w:val="p_left_luokuan011"/>
    <w:basedOn w:val="a"/>
    <w:rsid w:val="00C01B82"/>
    <w:pPr>
      <w:widowControl/>
      <w:spacing w:before="100" w:beforeAutospacing="1" w:after="100" w:afterAutospacing="1" w:line="360" w:lineRule="atLeast"/>
      <w:jc w:val="right"/>
    </w:pPr>
    <w:rPr>
      <w:rFonts w:ascii="宋体" w:eastAsia="宋体" w:hAnsi="宋体" w:cs="宋体"/>
      <w:color w:val="403F3D"/>
      <w:kern w:val="0"/>
      <w:sz w:val="24"/>
      <w:szCs w:val="24"/>
    </w:rPr>
  </w:style>
  <w:style w:type="paragraph" w:customStyle="1" w:styleId="pleftluokuan021">
    <w:name w:val="p_left_luokuan021"/>
    <w:basedOn w:val="a"/>
    <w:rsid w:val="00C01B82"/>
    <w:pPr>
      <w:widowControl/>
      <w:spacing w:before="100" w:beforeAutospacing="1" w:after="100" w:afterAutospacing="1" w:line="360" w:lineRule="atLeast"/>
      <w:jc w:val="right"/>
    </w:pPr>
    <w:rPr>
      <w:rFonts w:ascii="宋体" w:eastAsia="宋体" w:hAnsi="宋体" w:cs="宋体"/>
      <w:color w:val="403F3D"/>
      <w:kern w:val="0"/>
      <w:sz w:val="24"/>
      <w:szCs w:val="24"/>
    </w:rPr>
  </w:style>
  <w:style w:type="paragraph" w:styleId="ac">
    <w:name w:val="Plain Text"/>
    <w:basedOn w:val="a"/>
    <w:link w:val="Char3"/>
    <w:uiPriority w:val="99"/>
    <w:semiHidden/>
    <w:unhideWhenUsed/>
    <w:rsid w:val="00B1020C"/>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纯文本 Char"/>
    <w:basedOn w:val="a0"/>
    <w:link w:val="ac"/>
    <w:uiPriority w:val="99"/>
    <w:semiHidden/>
    <w:rsid w:val="00B1020C"/>
    <w:rPr>
      <w:rFonts w:ascii="宋体" w:eastAsia="宋体" w:hAnsi="宋体" w:cs="宋体"/>
      <w:kern w:val="0"/>
      <w:sz w:val="24"/>
      <w:szCs w:val="24"/>
    </w:rPr>
  </w:style>
  <w:style w:type="character" w:customStyle="1" w:styleId="content">
    <w:name w:val="content"/>
    <w:basedOn w:val="a0"/>
    <w:rsid w:val="00B1020C"/>
  </w:style>
  <w:style w:type="paragraph" w:styleId="ad">
    <w:name w:val="Date"/>
    <w:basedOn w:val="a"/>
    <w:next w:val="a"/>
    <w:link w:val="Char4"/>
    <w:uiPriority w:val="99"/>
    <w:semiHidden/>
    <w:unhideWhenUsed/>
    <w:rsid w:val="005E0922"/>
    <w:pPr>
      <w:ind w:leftChars="2500" w:left="100"/>
    </w:pPr>
  </w:style>
  <w:style w:type="character" w:customStyle="1" w:styleId="Char4">
    <w:name w:val="日期 Char"/>
    <w:basedOn w:val="a0"/>
    <w:link w:val="ad"/>
    <w:uiPriority w:val="99"/>
    <w:semiHidden/>
    <w:rsid w:val="005E0922"/>
  </w:style>
  <w:style w:type="paragraph" w:customStyle="1" w:styleId="trseditor">
    <w:name w:val="trs_editor"/>
    <w:basedOn w:val="a"/>
    <w:rsid w:val="009019B6"/>
    <w:pPr>
      <w:widowControl/>
      <w:spacing w:before="100" w:beforeAutospacing="1" w:after="100" w:afterAutospacing="1"/>
      <w:jc w:val="left"/>
    </w:pPr>
    <w:rPr>
      <w:rFonts w:ascii="宋体" w:eastAsia="宋体" w:hAnsi="宋体" w:cs="宋体"/>
      <w:kern w:val="0"/>
      <w:sz w:val="24"/>
      <w:szCs w:val="24"/>
    </w:rPr>
  </w:style>
  <w:style w:type="paragraph" w:styleId="4">
    <w:name w:val="toc 4"/>
    <w:basedOn w:val="a"/>
    <w:next w:val="a"/>
    <w:autoRedefine/>
    <w:uiPriority w:val="39"/>
    <w:unhideWhenUsed/>
    <w:rsid w:val="002746BC"/>
    <w:pPr>
      <w:ind w:leftChars="600" w:left="1260"/>
    </w:pPr>
  </w:style>
  <w:style w:type="paragraph" w:styleId="5">
    <w:name w:val="toc 5"/>
    <w:basedOn w:val="a"/>
    <w:next w:val="a"/>
    <w:autoRedefine/>
    <w:uiPriority w:val="39"/>
    <w:unhideWhenUsed/>
    <w:rsid w:val="002746BC"/>
    <w:pPr>
      <w:ind w:leftChars="800" w:left="1680"/>
    </w:pPr>
  </w:style>
  <w:style w:type="paragraph" w:styleId="6">
    <w:name w:val="toc 6"/>
    <w:basedOn w:val="a"/>
    <w:next w:val="a"/>
    <w:autoRedefine/>
    <w:uiPriority w:val="39"/>
    <w:unhideWhenUsed/>
    <w:rsid w:val="002746BC"/>
    <w:pPr>
      <w:ind w:leftChars="1000" w:left="2100"/>
    </w:pPr>
  </w:style>
  <w:style w:type="paragraph" w:styleId="7">
    <w:name w:val="toc 7"/>
    <w:basedOn w:val="a"/>
    <w:next w:val="a"/>
    <w:autoRedefine/>
    <w:uiPriority w:val="39"/>
    <w:unhideWhenUsed/>
    <w:rsid w:val="002746BC"/>
    <w:pPr>
      <w:ind w:leftChars="1200" w:left="2520"/>
    </w:pPr>
  </w:style>
  <w:style w:type="paragraph" w:styleId="8">
    <w:name w:val="toc 8"/>
    <w:basedOn w:val="a"/>
    <w:next w:val="a"/>
    <w:autoRedefine/>
    <w:uiPriority w:val="39"/>
    <w:unhideWhenUsed/>
    <w:rsid w:val="002746BC"/>
    <w:pPr>
      <w:ind w:leftChars="1400" w:left="2940"/>
    </w:pPr>
  </w:style>
  <w:style w:type="paragraph" w:styleId="9">
    <w:name w:val="toc 9"/>
    <w:basedOn w:val="a"/>
    <w:next w:val="a"/>
    <w:autoRedefine/>
    <w:uiPriority w:val="39"/>
    <w:unhideWhenUsed/>
    <w:rsid w:val="002746BC"/>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4092">
      <w:bodyDiv w:val="1"/>
      <w:marLeft w:val="0"/>
      <w:marRight w:val="0"/>
      <w:marTop w:val="0"/>
      <w:marBottom w:val="0"/>
      <w:divBdr>
        <w:top w:val="none" w:sz="0" w:space="0" w:color="auto"/>
        <w:left w:val="none" w:sz="0" w:space="0" w:color="auto"/>
        <w:bottom w:val="none" w:sz="0" w:space="0" w:color="auto"/>
        <w:right w:val="none" w:sz="0" w:space="0" w:color="auto"/>
      </w:divBdr>
      <w:divsChild>
        <w:div w:id="2029212793">
          <w:marLeft w:val="0"/>
          <w:marRight w:val="0"/>
          <w:marTop w:val="0"/>
          <w:marBottom w:val="0"/>
          <w:divBdr>
            <w:top w:val="none" w:sz="0" w:space="0" w:color="auto"/>
            <w:left w:val="none" w:sz="0" w:space="0" w:color="auto"/>
            <w:bottom w:val="none" w:sz="0" w:space="0" w:color="auto"/>
            <w:right w:val="none" w:sz="0" w:space="0" w:color="auto"/>
          </w:divBdr>
          <w:divsChild>
            <w:div w:id="17762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843">
      <w:bodyDiv w:val="1"/>
      <w:marLeft w:val="0"/>
      <w:marRight w:val="0"/>
      <w:marTop w:val="0"/>
      <w:marBottom w:val="0"/>
      <w:divBdr>
        <w:top w:val="none" w:sz="0" w:space="0" w:color="auto"/>
        <w:left w:val="none" w:sz="0" w:space="0" w:color="auto"/>
        <w:bottom w:val="none" w:sz="0" w:space="0" w:color="auto"/>
        <w:right w:val="none" w:sz="0" w:space="0" w:color="auto"/>
      </w:divBdr>
    </w:div>
    <w:div w:id="19356078">
      <w:bodyDiv w:val="1"/>
      <w:marLeft w:val="0"/>
      <w:marRight w:val="0"/>
      <w:marTop w:val="0"/>
      <w:marBottom w:val="0"/>
      <w:divBdr>
        <w:top w:val="none" w:sz="0" w:space="0" w:color="auto"/>
        <w:left w:val="none" w:sz="0" w:space="0" w:color="auto"/>
        <w:bottom w:val="none" w:sz="0" w:space="0" w:color="auto"/>
        <w:right w:val="none" w:sz="0" w:space="0" w:color="auto"/>
      </w:divBdr>
    </w:div>
    <w:div w:id="48648132">
      <w:bodyDiv w:val="1"/>
      <w:marLeft w:val="0"/>
      <w:marRight w:val="0"/>
      <w:marTop w:val="0"/>
      <w:marBottom w:val="0"/>
      <w:divBdr>
        <w:top w:val="none" w:sz="0" w:space="0" w:color="auto"/>
        <w:left w:val="none" w:sz="0" w:space="0" w:color="auto"/>
        <w:bottom w:val="none" w:sz="0" w:space="0" w:color="auto"/>
        <w:right w:val="none" w:sz="0" w:space="0" w:color="auto"/>
      </w:divBdr>
    </w:div>
    <w:div w:id="71705659">
      <w:bodyDiv w:val="1"/>
      <w:marLeft w:val="0"/>
      <w:marRight w:val="0"/>
      <w:marTop w:val="0"/>
      <w:marBottom w:val="0"/>
      <w:divBdr>
        <w:top w:val="none" w:sz="0" w:space="0" w:color="auto"/>
        <w:left w:val="none" w:sz="0" w:space="0" w:color="auto"/>
        <w:bottom w:val="none" w:sz="0" w:space="0" w:color="auto"/>
        <w:right w:val="none" w:sz="0" w:space="0" w:color="auto"/>
      </w:divBdr>
    </w:div>
    <w:div w:id="87166042">
      <w:bodyDiv w:val="1"/>
      <w:marLeft w:val="0"/>
      <w:marRight w:val="0"/>
      <w:marTop w:val="0"/>
      <w:marBottom w:val="0"/>
      <w:divBdr>
        <w:top w:val="none" w:sz="0" w:space="0" w:color="auto"/>
        <w:left w:val="none" w:sz="0" w:space="0" w:color="auto"/>
        <w:bottom w:val="none" w:sz="0" w:space="0" w:color="auto"/>
        <w:right w:val="none" w:sz="0" w:space="0" w:color="auto"/>
      </w:divBdr>
    </w:div>
    <w:div w:id="101531640">
      <w:bodyDiv w:val="1"/>
      <w:marLeft w:val="0"/>
      <w:marRight w:val="0"/>
      <w:marTop w:val="0"/>
      <w:marBottom w:val="0"/>
      <w:divBdr>
        <w:top w:val="none" w:sz="0" w:space="0" w:color="auto"/>
        <w:left w:val="none" w:sz="0" w:space="0" w:color="auto"/>
        <w:bottom w:val="none" w:sz="0" w:space="0" w:color="auto"/>
        <w:right w:val="none" w:sz="0" w:space="0" w:color="auto"/>
      </w:divBdr>
      <w:divsChild>
        <w:div w:id="2081975937">
          <w:marLeft w:val="0"/>
          <w:marRight w:val="0"/>
          <w:marTop w:val="0"/>
          <w:marBottom w:val="0"/>
          <w:divBdr>
            <w:top w:val="none" w:sz="0" w:space="0" w:color="auto"/>
            <w:left w:val="none" w:sz="0" w:space="0" w:color="auto"/>
            <w:bottom w:val="none" w:sz="0" w:space="0" w:color="auto"/>
            <w:right w:val="none" w:sz="0" w:space="0" w:color="auto"/>
          </w:divBdr>
          <w:divsChild>
            <w:div w:id="1021860660">
              <w:marLeft w:val="0"/>
              <w:marRight w:val="0"/>
              <w:marTop w:val="0"/>
              <w:marBottom w:val="0"/>
              <w:divBdr>
                <w:top w:val="none" w:sz="0" w:space="0" w:color="auto"/>
                <w:left w:val="none" w:sz="0" w:space="0" w:color="auto"/>
                <w:bottom w:val="none" w:sz="0" w:space="0" w:color="auto"/>
                <w:right w:val="none" w:sz="0" w:space="0" w:color="auto"/>
              </w:divBdr>
              <w:divsChild>
                <w:div w:id="2137947143">
                  <w:marLeft w:val="0"/>
                  <w:marRight w:val="0"/>
                  <w:marTop w:val="0"/>
                  <w:marBottom w:val="0"/>
                  <w:divBdr>
                    <w:top w:val="single" w:sz="6" w:space="0" w:color="E3E3E3"/>
                    <w:left w:val="single" w:sz="6" w:space="12" w:color="E3E3E3"/>
                    <w:bottom w:val="single" w:sz="6" w:space="8" w:color="E3E3E3"/>
                    <w:right w:val="single" w:sz="6" w:space="11" w:color="E3E3E3"/>
                  </w:divBdr>
                  <w:divsChild>
                    <w:div w:id="197271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7379">
      <w:bodyDiv w:val="1"/>
      <w:marLeft w:val="0"/>
      <w:marRight w:val="0"/>
      <w:marTop w:val="0"/>
      <w:marBottom w:val="0"/>
      <w:divBdr>
        <w:top w:val="none" w:sz="0" w:space="0" w:color="auto"/>
        <w:left w:val="none" w:sz="0" w:space="0" w:color="auto"/>
        <w:bottom w:val="none" w:sz="0" w:space="0" w:color="auto"/>
        <w:right w:val="none" w:sz="0" w:space="0" w:color="auto"/>
      </w:divBdr>
      <w:divsChild>
        <w:div w:id="984820059">
          <w:marLeft w:val="0"/>
          <w:marRight w:val="0"/>
          <w:marTop w:val="0"/>
          <w:marBottom w:val="0"/>
          <w:divBdr>
            <w:top w:val="none" w:sz="0" w:space="0" w:color="auto"/>
            <w:left w:val="none" w:sz="0" w:space="0" w:color="auto"/>
            <w:bottom w:val="none" w:sz="0" w:space="0" w:color="auto"/>
            <w:right w:val="none" w:sz="0" w:space="0" w:color="auto"/>
          </w:divBdr>
          <w:divsChild>
            <w:div w:id="124356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95766">
      <w:bodyDiv w:val="1"/>
      <w:marLeft w:val="0"/>
      <w:marRight w:val="0"/>
      <w:marTop w:val="0"/>
      <w:marBottom w:val="0"/>
      <w:divBdr>
        <w:top w:val="none" w:sz="0" w:space="0" w:color="auto"/>
        <w:left w:val="none" w:sz="0" w:space="0" w:color="auto"/>
        <w:bottom w:val="none" w:sz="0" w:space="0" w:color="auto"/>
        <w:right w:val="none" w:sz="0" w:space="0" w:color="auto"/>
      </w:divBdr>
    </w:div>
    <w:div w:id="229465918">
      <w:bodyDiv w:val="1"/>
      <w:marLeft w:val="0"/>
      <w:marRight w:val="0"/>
      <w:marTop w:val="0"/>
      <w:marBottom w:val="0"/>
      <w:divBdr>
        <w:top w:val="none" w:sz="0" w:space="0" w:color="auto"/>
        <w:left w:val="none" w:sz="0" w:space="0" w:color="auto"/>
        <w:bottom w:val="none" w:sz="0" w:space="0" w:color="auto"/>
        <w:right w:val="none" w:sz="0" w:space="0" w:color="auto"/>
      </w:divBdr>
      <w:divsChild>
        <w:div w:id="2140149970">
          <w:marLeft w:val="0"/>
          <w:marRight w:val="0"/>
          <w:marTop w:val="0"/>
          <w:marBottom w:val="0"/>
          <w:divBdr>
            <w:top w:val="none" w:sz="0" w:space="0" w:color="auto"/>
            <w:left w:val="none" w:sz="0" w:space="0" w:color="auto"/>
            <w:bottom w:val="none" w:sz="0" w:space="0" w:color="auto"/>
            <w:right w:val="none" w:sz="0" w:space="0" w:color="auto"/>
          </w:divBdr>
          <w:divsChild>
            <w:div w:id="104170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36551">
      <w:bodyDiv w:val="1"/>
      <w:marLeft w:val="0"/>
      <w:marRight w:val="0"/>
      <w:marTop w:val="0"/>
      <w:marBottom w:val="0"/>
      <w:divBdr>
        <w:top w:val="none" w:sz="0" w:space="0" w:color="auto"/>
        <w:left w:val="none" w:sz="0" w:space="0" w:color="auto"/>
        <w:bottom w:val="none" w:sz="0" w:space="0" w:color="auto"/>
        <w:right w:val="none" w:sz="0" w:space="0" w:color="auto"/>
      </w:divBdr>
    </w:div>
    <w:div w:id="263346907">
      <w:bodyDiv w:val="1"/>
      <w:marLeft w:val="0"/>
      <w:marRight w:val="0"/>
      <w:marTop w:val="0"/>
      <w:marBottom w:val="0"/>
      <w:divBdr>
        <w:top w:val="none" w:sz="0" w:space="0" w:color="auto"/>
        <w:left w:val="none" w:sz="0" w:space="0" w:color="auto"/>
        <w:bottom w:val="none" w:sz="0" w:space="0" w:color="auto"/>
        <w:right w:val="none" w:sz="0" w:space="0" w:color="auto"/>
      </w:divBdr>
    </w:div>
    <w:div w:id="280110753">
      <w:bodyDiv w:val="1"/>
      <w:marLeft w:val="0"/>
      <w:marRight w:val="0"/>
      <w:marTop w:val="0"/>
      <w:marBottom w:val="0"/>
      <w:divBdr>
        <w:top w:val="none" w:sz="0" w:space="0" w:color="auto"/>
        <w:left w:val="none" w:sz="0" w:space="0" w:color="auto"/>
        <w:bottom w:val="none" w:sz="0" w:space="0" w:color="auto"/>
        <w:right w:val="none" w:sz="0" w:space="0" w:color="auto"/>
      </w:divBdr>
      <w:divsChild>
        <w:div w:id="1005977643">
          <w:marLeft w:val="0"/>
          <w:marRight w:val="0"/>
          <w:marTop w:val="0"/>
          <w:marBottom w:val="0"/>
          <w:divBdr>
            <w:top w:val="none" w:sz="0" w:space="0" w:color="auto"/>
            <w:left w:val="none" w:sz="0" w:space="0" w:color="auto"/>
            <w:bottom w:val="none" w:sz="0" w:space="0" w:color="auto"/>
            <w:right w:val="none" w:sz="0" w:space="0" w:color="auto"/>
          </w:divBdr>
          <w:divsChild>
            <w:div w:id="178638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392114">
      <w:bodyDiv w:val="1"/>
      <w:marLeft w:val="0"/>
      <w:marRight w:val="0"/>
      <w:marTop w:val="0"/>
      <w:marBottom w:val="0"/>
      <w:divBdr>
        <w:top w:val="none" w:sz="0" w:space="0" w:color="auto"/>
        <w:left w:val="none" w:sz="0" w:space="0" w:color="auto"/>
        <w:bottom w:val="none" w:sz="0" w:space="0" w:color="auto"/>
        <w:right w:val="none" w:sz="0" w:space="0" w:color="auto"/>
      </w:divBdr>
    </w:div>
    <w:div w:id="286396329">
      <w:bodyDiv w:val="1"/>
      <w:marLeft w:val="0"/>
      <w:marRight w:val="0"/>
      <w:marTop w:val="0"/>
      <w:marBottom w:val="0"/>
      <w:divBdr>
        <w:top w:val="none" w:sz="0" w:space="0" w:color="auto"/>
        <w:left w:val="none" w:sz="0" w:space="0" w:color="auto"/>
        <w:bottom w:val="none" w:sz="0" w:space="0" w:color="auto"/>
        <w:right w:val="none" w:sz="0" w:space="0" w:color="auto"/>
      </w:divBdr>
      <w:divsChild>
        <w:div w:id="1719475648">
          <w:marLeft w:val="0"/>
          <w:marRight w:val="0"/>
          <w:marTop w:val="0"/>
          <w:marBottom w:val="0"/>
          <w:divBdr>
            <w:top w:val="none" w:sz="0" w:space="0" w:color="auto"/>
            <w:left w:val="none" w:sz="0" w:space="0" w:color="auto"/>
            <w:bottom w:val="none" w:sz="0" w:space="0" w:color="auto"/>
            <w:right w:val="none" w:sz="0" w:space="0" w:color="auto"/>
          </w:divBdr>
        </w:div>
      </w:divsChild>
    </w:div>
    <w:div w:id="298387866">
      <w:bodyDiv w:val="1"/>
      <w:marLeft w:val="0"/>
      <w:marRight w:val="0"/>
      <w:marTop w:val="0"/>
      <w:marBottom w:val="0"/>
      <w:divBdr>
        <w:top w:val="none" w:sz="0" w:space="0" w:color="auto"/>
        <w:left w:val="none" w:sz="0" w:space="0" w:color="auto"/>
        <w:bottom w:val="none" w:sz="0" w:space="0" w:color="auto"/>
        <w:right w:val="none" w:sz="0" w:space="0" w:color="auto"/>
      </w:divBdr>
    </w:div>
    <w:div w:id="336931674">
      <w:bodyDiv w:val="1"/>
      <w:marLeft w:val="0"/>
      <w:marRight w:val="0"/>
      <w:marTop w:val="0"/>
      <w:marBottom w:val="0"/>
      <w:divBdr>
        <w:top w:val="none" w:sz="0" w:space="0" w:color="auto"/>
        <w:left w:val="none" w:sz="0" w:space="0" w:color="auto"/>
        <w:bottom w:val="none" w:sz="0" w:space="0" w:color="auto"/>
        <w:right w:val="none" w:sz="0" w:space="0" w:color="auto"/>
      </w:divBdr>
      <w:divsChild>
        <w:div w:id="464470078">
          <w:marLeft w:val="0"/>
          <w:marRight w:val="0"/>
          <w:marTop w:val="0"/>
          <w:marBottom w:val="0"/>
          <w:divBdr>
            <w:top w:val="none" w:sz="0" w:space="0" w:color="auto"/>
            <w:left w:val="none" w:sz="0" w:space="0" w:color="auto"/>
            <w:bottom w:val="none" w:sz="0" w:space="0" w:color="auto"/>
            <w:right w:val="none" w:sz="0" w:space="0" w:color="auto"/>
          </w:divBdr>
        </w:div>
      </w:divsChild>
    </w:div>
    <w:div w:id="337074722">
      <w:bodyDiv w:val="1"/>
      <w:marLeft w:val="0"/>
      <w:marRight w:val="0"/>
      <w:marTop w:val="0"/>
      <w:marBottom w:val="0"/>
      <w:divBdr>
        <w:top w:val="none" w:sz="0" w:space="0" w:color="auto"/>
        <w:left w:val="none" w:sz="0" w:space="0" w:color="auto"/>
        <w:bottom w:val="none" w:sz="0" w:space="0" w:color="auto"/>
        <w:right w:val="none" w:sz="0" w:space="0" w:color="auto"/>
      </w:divBdr>
      <w:divsChild>
        <w:div w:id="1067068820">
          <w:marLeft w:val="0"/>
          <w:marRight w:val="0"/>
          <w:marTop w:val="0"/>
          <w:marBottom w:val="0"/>
          <w:divBdr>
            <w:top w:val="none" w:sz="0" w:space="0" w:color="auto"/>
            <w:left w:val="none" w:sz="0" w:space="0" w:color="auto"/>
            <w:bottom w:val="none" w:sz="0" w:space="0" w:color="auto"/>
            <w:right w:val="none" w:sz="0" w:space="0" w:color="auto"/>
          </w:divBdr>
          <w:divsChild>
            <w:div w:id="529102488">
              <w:marLeft w:val="0"/>
              <w:marRight w:val="0"/>
              <w:marTop w:val="0"/>
              <w:marBottom w:val="0"/>
              <w:divBdr>
                <w:top w:val="dotted" w:sz="6" w:space="15" w:color="CCCCCC"/>
                <w:left w:val="none" w:sz="0" w:space="0" w:color="auto"/>
                <w:bottom w:val="none" w:sz="0" w:space="0" w:color="auto"/>
                <w:right w:val="none" w:sz="0" w:space="0" w:color="auto"/>
              </w:divBdr>
            </w:div>
          </w:divsChild>
        </w:div>
      </w:divsChild>
    </w:div>
    <w:div w:id="361174680">
      <w:bodyDiv w:val="1"/>
      <w:marLeft w:val="0"/>
      <w:marRight w:val="0"/>
      <w:marTop w:val="0"/>
      <w:marBottom w:val="0"/>
      <w:divBdr>
        <w:top w:val="none" w:sz="0" w:space="0" w:color="auto"/>
        <w:left w:val="none" w:sz="0" w:space="0" w:color="auto"/>
        <w:bottom w:val="none" w:sz="0" w:space="0" w:color="auto"/>
        <w:right w:val="none" w:sz="0" w:space="0" w:color="auto"/>
      </w:divBdr>
    </w:div>
    <w:div w:id="376248012">
      <w:bodyDiv w:val="1"/>
      <w:marLeft w:val="0"/>
      <w:marRight w:val="0"/>
      <w:marTop w:val="0"/>
      <w:marBottom w:val="0"/>
      <w:divBdr>
        <w:top w:val="none" w:sz="0" w:space="0" w:color="auto"/>
        <w:left w:val="none" w:sz="0" w:space="0" w:color="auto"/>
        <w:bottom w:val="none" w:sz="0" w:space="0" w:color="auto"/>
        <w:right w:val="none" w:sz="0" w:space="0" w:color="auto"/>
      </w:divBdr>
    </w:div>
    <w:div w:id="411706158">
      <w:bodyDiv w:val="1"/>
      <w:marLeft w:val="0"/>
      <w:marRight w:val="0"/>
      <w:marTop w:val="0"/>
      <w:marBottom w:val="0"/>
      <w:divBdr>
        <w:top w:val="none" w:sz="0" w:space="0" w:color="auto"/>
        <w:left w:val="none" w:sz="0" w:space="0" w:color="auto"/>
        <w:bottom w:val="none" w:sz="0" w:space="0" w:color="auto"/>
        <w:right w:val="none" w:sz="0" w:space="0" w:color="auto"/>
      </w:divBdr>
    </w:div>
    <w:div w:id="414327912">
      <w:bodyDiv w:val="1"/>
      <w:marLeft w:val="0"/>
      <w:marRight w:val="0"/>
      <w:marTop w:val="0"/>
      <w:marBottom w:val="0"/>
      <w:divBdr>
        <w:top w:val="none" w:sz="0" w:space="0" w:color="auto"/>
        <w:left w:val="none" w:sz="0" w:space="0" w:color="auto"/>
        <w:bottom w:val="none" w:sz="0" w:space="0" w:color="auto"/>
        <w:right w:val="none" w:sz="0" w:space="0" w:color="auto"/>
      </w:divBdr>
    </w:div>
    <w:div w:id="417138757">
      <w:bodyDiv w:val="1"/>
      <w:marLeft w:val="0"/>
      <w:marRight w:val="0"/>
      <w:marTop w:val="0"/>
      <w:marBottom w:val="0"/>
      <w:divBdr>
        <w:top w:val="none" w:sz="0" w:space="0" w:color="auto"/>
        <w:left w:val="none" w:sz="0" w:space="0" w:color="auto"/>
        <w:bottom w:val="none" w:sz="0" w:space="0" w:color="auto"/>
        <w:right w:val="none" w:sz="0" w:space="0" w:color="auto"/>
      </w:divBdr>
    </w:div>
    <w:div w:id="420445760">
      <w:bodyDiv w:val="1"/>
      <w:marLeft w:val="0"/>
      <w:marRight w:val="0"/>
      <w:marTop w:val="0"/>
      <w:marBottom w:val="0"/>
      <w:divBdr>
        <w:top w:val="none" w:sz="0" w:space="0" w:color="auto"/>
        <w:left w:val="none" w:sz="0" w:space="0" w:color="auto"/>
        <w:bottom w:val="none" w:sz="0" w:space="0" w:color="auto"/>
        <w:right w:val="none" w:sz="0" w:space="0" w:color="auto"/>
      </w:divBdr>
    </w:div>
    <w:div w:id="448821445">
      <w:bodyDiv w:val="1"/>
      <w:marLeft w:val="0"/>
      <w:marRight w:val="0"/>
      <w:marTop w:val="0"/>
      <w:marBottom w:val="0"/>
      <w:divBdr>
        <w:top w:val="none" w:sz="0" w:space="0" w:color="auto"/>
        <w:left w:val="none" w:sz="0" w:space="0" w:color="auto"/>
        <w:bottom w:val="none" w:sz="0" w:space="0" w:color="auto"/>
        <w:right w:val="none" w:sz="0" w:space="0" w:color="auto"/>
      </w:divBdr>
    </w:div>
    <w:div w:id="454056361">
      <w:bodyDiv w:val="1"/>
      <w:marLeft w:val="0"/>
      <w:marRight w:val="0"/>
      <w:marTop w:val="0"/>
      <w:marBottom w:val="0"/>
      <w:divBdr>
        <w:top w:val="none" w:sz="0" w:space="0" w:color="auto"/>
        <w:left w:val="none" w:sz="0" w:space="0" w:color="auto"/>
        <w:bottom w:val="none" w:sz="0" w:space="0" w:color="auto"/>
        <w:right w:val="none" w:sz="0" w:space="0" w:color="auto"/>
      </w:divBdr>
    </w:div>
    <w:div w:id="487095644">
      <w:bodyDiv w:val="1"/>
      <w:marLeft w:val="0"/>
      <w:marRight w:val="0"/>
      <w:marTop w:val="0"/>
      <w:marBottom w:val="0"/>
      <w:divBdr>
        <w:top w:val="none" w:sz="0" w:space="0" w:color="auto"/>
        <w:left w:val="none" w:sz="0" w:space="0" w:color="auto"/>
        <w:bottom w:val="none" w:sz="0" w:space="0" w:color="auto"/>
        <w:right w:val="none" w:sz="0" w:space="0" w:color="auto"/>
      </w:divBdr>
      <w:divsChild>
        <w:div w:id="42756914">
          <w:marLeft w:val="0"/>
          <w:marRight w:val="0"/>
          <w:marTop w:val="0"/>
          <w:marBottom w:val="0"/>
          <w:divBdr>
            <w:top w:val="none" w:sz="0" w:space="0" w:color="auto"/>
            <w:left w:val="none" w:sz="0" w:space="0" w:color="auto"/>
            <w:bottom w:val="none" w:sz="0" w:space="0" w:color="auto"/>
            <w:right w:val="none" w:sz="0" w:space="0" w:color="auto"/>
          </w:divBdr>
        </w:div>
      </w:divsChild>
    </w:div>
    <w:div w:id="497618158">
      <w:bodyDiv w:val="1"/>
      <w:marLeft w:val="0"/>
      <w:marRight w:val="0"/>
      <w:marTop w:val="0"/>
      <w:marBottom w:val="0"/>
      <w:divBdr>
        <w:top w:val="none" w:sz="0" w:space="0" w:color="auto"/>
        <w:left w:val="none" w:sz="0" w:space="0" w:color="auto"/>
        <w:bottom w:val="none" w:sz="0" w:space="0" w:color="auto"/>
        <w:right w:val="none" w:sz="0" w:space="0" w:color="auto"/>
      </w:divBdr>
    </w:div>
    <w:div w:id="498470806">
      <w:bodyDiv w:val="1"/>
      <w:marLeft w:val="0"/>
      <w:marRight w:val="0"/>
      <w:marTop w:val="0"/>
      <w:marBottom w:val="0"/>
      <w:divBdr>
        <w:top w:val="none" w:sz="0" w:space="0" w:color="auto"/>
        <w:left w:val="none" w:sz="0" w:space="0" w:color="auto"/>
        <w:bottom w:val="none" w:sz="0" w:space="0" w:color="auto"/>
        <w:right w:val="none" w:sz="0" w:space="0" w:color="auto"/>
      </w:divBdr>
    </w:div>
    <w:div w:id="502013071">
      <w:bodyDiv w:val="1"/>
      <w:marLeft w:val="0"/>
      <w:marRight w:val="0"/>
      <w:marTop w:val="0"/>
      <w:marBottom w:val="0"/>
      <w:divBdr>
        <w:top w:val="none" w:sz="0" w:space="0" w:color="auto"/>
        <w:left w:val="none" w:sz="0" w:space="0" w:color="auto"/>
        <w:bottom w:val="none" w:sz="0" w:space="0" w:color="auto"/>
        <w:right w:val="none" w:sz="0" w:space="0" w:color="auto"/>
      </w:divBdr>
    </w:div>
    <w:div w:id="513540488">
      <w:bodyDiv w:val="1"/>
      <w:marLeft w:val="0"/>
      <w:marRight w:val="0"/>
      <w:marTop w:val="0"/>
      <w:marBottom w:val="0"/>
      <w:divBdr>
        <w:top w:val="none" w:sz="0" w:space="0" w:color="auto"/>
        <w:left w:val="none" w:sz="0" w:space="0" w:color="auto"/>
        <w:bottom w:val="none" w:sz="0" w:space="0" w:color="auto"/>
        <w:right w:val="none" w:sz="0" w:space="0" w:color="auto"/>
      </w:divBdr>
    </w:div>
    <w:div w:id="515003538">
      <w:bodyDiv w:val="1"/>
      <w:marLeft w:val="0"/>
      <w:marRight w:val="0"/>
      <w:marTop w:val="0"/>
      <w:marBottom w:val="0"/>
      <w:divBdr>
        <w:top w:val="none" w:sz="0" w:space="0" w:color="auto"/>
        <w:left w:val="none" w:sz="0" w:space="0" w:color="auto"/>
        <w:bottom w:val="none" w:sz="0" w:space="0" w:color="auto"/>
        <w:right w:val="none" w:sz="0" w:space="0" w:color="auto"/>
      </w:divBdr>
      <w:divsChild>
        <w:div w:id="2080515950">
          <w:marLeft w:val="0"/>
          <w:marRight w:val="0"/>
          <w:marTop w:val="0"/>
          <w:marBottom w:val="0"/>
          <w:divBdr>
            <w:top w:val="none" w:sz="0" w:space="0" w:color="auto"/>
            <w:left w:val="none" w:sz="0" w:space="0" w:color="auto"/>
            <w:bottom w:val="none" w:sz="0" w:space="0" w:color="auto"/>
            <w:right w:val="none" w:sz="0" w:space="0" w:color="auto"/>
          </w:divBdr>
          <w:divsChild>
            <w:div w:id="57829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868968">
      <w:bodyDiv w:val="1"/>
      <w:marLeft w:val="0"/>
      <w:marRight w:val="0"/>
      <w:marTop w:val="100"/>
      <w:marBottom w:val="100"/>
      <w:divBdr>
        <w:top w:val="none" w:sz="0" w:space="0" w:color="auto"/>
        <w:left w:val="none" w:sz="0" w:space="0" w:color="auto"/>
        <w:bottom w:val="none" w:sz="0" w:space="0" w:color="auto"/>
        <w:right w:val="none" w:sz="0" w:space="0" w:color="auto"/>
      </w:divBdr>
      <w:divsChild>
        <w:div w:id="628778269">
          <w:marLeft w:val="0"/>
          <w:marRight w:val="0"/>
          <w:marTop w:val="100"/>
          <w:marBottom w:val="100"/>
          <w:divBdr>
            <w:top w:val="none" w:sz="0" w:space="0" w:color="auto"/>
            <w:left w:val="none" w:sz="0" w:space="0" w:color="auto"/>
            <w:bottom w:val="none" w:sz="0" w:space="0" w:color="auto"/>
            <w:right w:val="none" w:sz="0" w:space="0" w:color="auto"/>
          </w:divBdr>
          <w:divsChild>
            <w:div w:id="452288890">
              <w:marLeft w:val="0"/>
              <w:marRight w:val="0"/>
              <w:marTop w:val="0"/>
              <w:marBottom w:val="0"/>
              <w:divBdr>
                <w:top w:val="none" w:sz="0" w:space="0" w:color="auto"/>
                <w:left w:val="none" w:sz="0" w:space="0" w:color="auto"/>
                <w:bottom w:val="none" w:sz="0" w:space="0" w:color="auto"/>
                <w:right w:val="none" w:sz="0" w:space="0" w:color="auto"/>
              </w:divBdr>
              <w:divsChild>
                <w:div w:id="979964153">
                  <w:marLeft w:val="0"/>
                  <w:marRight w:val="0"/>
                  <w:marTop w:val="0"/>
                  <w:marBottom w:val="300"/>
                  <w:divBdr>
                    <w:top w:val="none" w:sz="0" w:space="0" w:color="auto"/>
                    <w:left w:val="none" w:sz="0" w:space="0" w:color="auto"/>
                    <w:bottom w:val="none" w:sz="0" w:space="0" w:color="auto"/>
                    <w:right w:val="none" w:sz="0" w:space="0" w:color="auto"/>
                  </w:divBdr>
                  <w:divsChild>
                    <w:div w:id="332296975">
                      <w:marLeft w:val="0"/>
                      <w:marRight w:val="0"/>
                      <w:marTop w:val="0"/>
                      <w:marBottom w:val="0"/>
                      <w:divBdr>
                        <w:top w:val="none" w:sz="0" w:space="0" w:color="auto"/>
                        <w:left w:val="none" w:sz="0" w:space="0" w:color="auto"/>
                        <w:bottom w:val="none" w:sz="0" w:space="0" w:color="auto"/>
                        <w:right w:val="none" w:sz="0" w:space="0" w:color="auto"/>
                      </w:divBdr>
                      <w:divsChild>
                        <w:div w:id="750470686">
                          <w:marLeft w:val="0"/>
                          <w:marRight w:val="0"/>
                          <w:marTop w:val="225"/>
                          <w:marBottom w:val="375"/>
                          <w:divBdr>
                            <w:top w:val="none" w:sz="0" w:space="0" w:color="auto"/>
                            <w:left w:val="none" w:sz="0" w:space="0" w:color="auto"/>
                            <w:bottom w:val="none" w:sz="0" w:space="0" w:color="auto"/>
                            <w:right w:val="none" w:sz="0" w:space="0" w:color="auto"/>
                          </w:divBdr>
                          <w:divsChild>
                            <w:div w:id="11461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7624146">
      <w:bodyDiv w:val="1"/>
      <w:marLeft w:val="0"/>
      <w:marRight w:val="0"/>
      <w:marTop w:val="0"/>
      <w:marBottom w:val="0"/>
      <w:divBdr>
        <w:top w:val="none" w:sz="0" w:space="0" w:color="auto"/>
        <w:left w:val="none" w:sz="0" w:space="0" w:color="auto"/>
        <w:bottom w:val="none" w:sz="0" w:space="0" w:color="auto"/>
        <w:right w:val="none" w:sz="0" w:space="0" w:color="auto"/>
      </w:divBdr>
    </w:div>
    <w:div w:id="572157674">
      <w:bodyDiv w:val="1"/>
      <w:marLeft w:val="0"/>
      <w:marRight w:val="0"/>
      <w:marTop w:val="0"/>
      <w:marBottom w:val="0"/>
      <w:divBdr>
        <w:top w:val="none" w:sz="0" w:space="0" w:color="auto"/>
        <w:left w:val="none" w:sz="0" w:space="0" w:color="auto"/>
        <w:bottom w:val="none" w:sz="0" w:space="0" w:color="auto"/>
        <w:right w:val="none" w:sz="0" w:space="0" w:color="auto"/>
      </w:divBdr>
      <w:divsChild>
        <w:div w:id="885337362">
          <w:marLeft w:val="0"/>
          <w:marRight w:val="0"/>
          <w:marTop w:val="0"/>
          <w:marBottom w:val="0"/>
          <w:divBdr>
            <w:top w:val="none" w:sz="0" w:space="0" w:color="auto"/>
            <w:left w:val="none" w:sz="0" w:space="0" w:color="auto"/>
            <w:bottom w:val="none" w:sz="0" w:space="0" w:color="auto"/>
            <w:right w:val="none" w:sz="0" w:space="0" w:color="auto"/>
          </w:divBdr>
          <w:divsChild>
            <w:div w:id="1528564435">
              <w:marLeft w:val="0"/>
              <w:marRight w:val="0"/>
              <w:marTop w:val="0"/>
              <w:marBottom w:val="0"/>
              <w:divBdr>
                <w:top w:val="none" w:sz="0" w:space="0" w:color="auto"/>
                <w:left w:val="none" w:sz="0" w:space="0" w:color="auto"/>
                <w:bottom w:val="none" w:sz="0" w:space="0" w:color="auto"/>
                <w:right w:val="none" w:sz="0" w:space="0" w:color="auto"/>
              </w:divBdr>
              <w:divsChild>
                <w:div w:id="169371094">
                  <w:marLeft w:val="0"/>
                  <w:marRight w:val="0"/>
                  <w:marTop w:val="0"/>
                  <w:marBottom w:val="0"/>
                  <w:divBdr>
                    <w:top w:val="none" w:sz="0" w:space="0" w:color="auto"/>
                    <w:left w:val="none" w:sz="0" w:space="0" w:color="auto"/>
                    <w:bottom w:val="none" w:sz="0" w:space="0" w:color="auto"/>
                    <w:right w:val="none" w:sz="0" w:space="0" w:color="auto"/>
                  </w:divBdr>
                  <w:divsChild>
                    <w:div w:id="83965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239013">
      <w:bodyDiv w:val="1"/>
      <w:marLeft w:val="0"/>
      <w:marRight w:val="0"/>
      <w:marTop w:val="0"/>
      <w:marBottom w:val="0"/>
      <w:divBdr>
        <w:top w:val="none" w:sz="0" w:space="0" w:color="auto"/>
        <w:left w:val="none" w:sz="0" w:space="0" w:color="auto"/>
        <w:bottom w:val="none" w:sz="0" w:space="0" w:color="auto"/>
        <w:right w:val="none" w:sz="0" w:space="0" w:color="auto"/>
      </w:divBdr>
    </w:div>
    <w:div w:id="584343750">
      <w:bodyDiv w:val="1"/>
      <w:marLeft w:val="0"/>
      <w:marRight w:val="0"/>
      <w:marTop w:val="0"/>
      <w:marBottom w:val="0"/>
      <w:divBdr>
        <w:top w:val="none" w:sz="0" w:space="0" w:color="auto"/>
        <w:left w:val="none" w:sz="0" w:space="0" w:color="auto"/>
        <w:bottom w:val="none" w:sz="0" w:space="0" w:color="auto"/>
        <w:right w:val="none" w:sz="0" w:space="0" w:color="auto"/>
      </w:divBdr>
    </w:div>
    <w:div w:id="587202586">
      <w:bodyDiv w:val="1"/>
      <w:marLeft w:val="0"/>
      <w:marRight w:val="0"/>
      <w:marTop w:val="0"/>
      <w:marBottom w:val="0"/>
      <w:divBdr>
        <w:top w:val="none" w:sz="0" w:space="0" w:color="auto"/>
        <w:left w:val="none" w:sz="0" w:space="0" w:color="auto"/>
        <w:bottom w:val="none" w:sz="0" w:space="0" w:color="auto"/>
        <w:right w:val="none" w:sz="0" w:space="0" w:color="auto"/>
      </w:divBdr>
    </w:div>
    <w:div w:id="616135219">
      <w:bodyDiv w:val="1"/>
      <w:marLeft w:val="0"/>
      <w:marRight w:val="0"/>
      <w:marTop w:val="0"/>
      <w:marBottom w:val="0"/>
      <w:divBdr>
        <w:top w:val="none" w:sz="0" w:space="0" w:color="auto"/>
        <w:left w:val="none" w:sz="0" w:space="0" w:color="auto"/>
        <w:bottom w:val="none" w:sz="0" w:space="0" w:color="auto"/>
        <w:right w:val="none" w:sz="0" w:space="0" w:color="auto"/>
      </w:divBdr>
      <w:divsChild>
        <w:div w:id="386688219">
          <w:marLeft w:val="0"/>
          <w:marRight w:val="0"/>
          <w:marTop w:val="0"/>
          <w:marBottom w:val="0"/>
          <w:divBdr>
            <w:top w:val="none" w:sz="0" w:space="0" w:color="auto"/>
            <w:left w:val="none" w:sz="0" w:space="0" w:color="auto"/>
            <w:bottom w:val="none" w:sz="0" w:space="0" w:color="auto"/>
            <w:right w:val="none" w:sz="0" w:space="0" w:color="auto"/>
          </w:divBdr>
          <w:divsChild>
            <w:div w:id="165826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184679">
      <w:bodyDiv w:val="1"/>
      <w:marLeft w:val="0"/>
      <w:marRight w:val="0"/>
      <w:marTop w:val="0"/>
      <w:marBottom w:val="0"/>
      <w:divBdr>
        <w:top w:val="none" w:sz="0" w:space="0" w:color="auto"/>
        <w:left w:val="none" w:sz="0" w:space="0" w:color="auto"/>
        <w:bottom w:val="none" w:sz="0" w:space="0" w:color="auto"/>
        <w:right w:val="none" w:sz="0" w:space="0" w:color="auto"/>
      </w:divBdr>
    </w:div>
    <w:div w:id="621809301">
      <w:bodyDiv w:val="1"/>
      <w:marLeft w:val="0"/>
      <w:marRight w:val="0"/>
      <w:marTop w:val="0"/>
      <w:marBottom w:val="0"/>
      <w:divBdr>
        <w:top w:val="none" w:sz="0" w:space="0" w:color="auto"/>
        <w:left w:val="none" w:sz="0" w:space="0" w:color="auto"/>
        <w:bottom w:val="none" w:sz="0" w:space="0" w:color="auto"/>
        <w:right w:val="none" w:sz="0" w:space="0" w:color="auto"/>
      </w:divBdr>
    </w:div>
    <w:div w:id="716322639">
      <w:bodyDiv w:val="1"/>
      <w:marLeft w:val="0"/>
      <w:marRight w:val="0"/>
      <w:marTop w:val="0"/>
      <w:marBottom w:val="0"/>
      <w:divBdr>
        <w:top w:val="none" w:sz="0" w:space="0" w:color="auto"/>
        <w:left w:val="none" w:sz="0" w:space="0" w:color="auto"/>
        <w:bottom w:val="none" w:sz="0" w:space="0" w:color="auto"/>
        <w:right w:val="none" w:sz="0" w:space="0" w:color="auto"/>
      </w:divBdr>
    </w:div>
    <w:div w:id="730158712">
      <w:bodyDiv w:val="1"/>
      <w:marLeft w:val="0"/>
      <w:marRight w:val="0"/>
      <w:marTop w:val="0"/>
      <w:marBottom w:val="0"/>
      <w:divBdr>
        <w:top w:val="none" w:sz="0" w:space="0" w:color="auto"/>
        <w:left w:val="none" w:sz="0" w:space="0" w:color="auto"/>
        <w:bottom w:val="none" w:sz="0" w:space="0" w:color="auto"/>
        <w:right w:val="none" w:sz="0" w:space="0" w:color="auto"/>
      </w:divBdr>
    </w:div>
    <w:div w:id="744034165">
      <w:bodyDiv w:val="1"/>
      <w:marLeft w:val="0"/>
      <w:marRight w:val="0"/>
      <w:marTop w:val="0"/>
      <w:marBottom w:val="0"/>
      <w:divBdr>
        <w:top w:val="none" w:sz="0" w:space="0" w:color="auto"/>
        <w:left w:val="none" w:sz="0" w:space="0" w:color="auto"/>
        <w:bottom w:val="none" w:sz="0" w:space="0" w:color="auto"/>
        <w:right w:val="none" w:sz="0" w:space="0" w:color="auto"/>
      </w:divBdr>
    </w:div>
    <w:div w:id="755369776">
      <w:bodyDiv w:val="1"/>
      <w:marLeft w:val="0"/>
      <w:marRight w:val="0"/>
      <w:marTop w:val="0"/>
      <w:marBottom w:val="0"/>
      <w:divBdr>
        <w:top w:val="none" w:sz="0" w:space="0" w:color="auto"/>
        <w:left w:val="none" w:sz="0" w:space="0" w:color="auto"/>
        <w:bottom w:val="none" w:sz="0" w:space="0" w:color="auto"/>
        <w:right w:val="none" w:sz="0" w:space="0" w:color="auto"/>
      </w:divBdr>
      <w:divsChild>
        <w:div w:id="912011511">
          <w:marLeft w:val="0"/>
          <w:marRight w:val="0"/>
          <w:marTop w:val="0"/>
          <w:marBottom w:val="0"/>
          <w:divBdr>
            <w:top w:val="none" w:sz="0" w:space="0" w:color="auto"/>
            <w:left w:val="none" w:sz="0" w:space="0" w:color="auto"/>
            <w:bottom w:val="none" w:sz="0" w:space="0" w:color="auto"/>
            <w:right w:val="none" w:sz="0" w:space="0" w:color="auto"/>
          </w:divBdr>
          <w:divsChild>
            <w:div w:id="4773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370509">
      <w:bodyDiv w:val="1"/>
      <w:marLeft w:val="0"/>
      <w:marRight w:val="0"/>
      <w:marTop w:val="0"/>
      <w:marBottom w:val="0"/>
      <w:divBdr>
        <w:top w:val="none" w:sz="0" w:space="0" w:color="auto"/>
        <w:left w:val="none" w:sz="0" w:space="0" w:color="auto"/>
        <w:bottom w:val="none" w:sz="0" w:space="0" w:color="auto"/>
        <w:right w:val="none" w:sz="0" w:space="0" w:color="auto"/>
      </w:divBdr>
    </w:div>
    <w:div w:id="775061441">
      <w:bodyDiv w:val="1"/>
      <w:marLeft w:val="0"/>
      <w:marRight w:val="0"/>
      <w:marTop w:val="0"/>
      <w:marBottom w:val="0"/>
      <w:divBdr>
        <w:top w:val="none" w:sz="0" w:space="0" w:color="auto"/>
        <w:left w:val="none" w:sz="0" w:space="0" w:color="auto"/>
        <w:bottom w:val="none" w:sz="0" w:space="0" w:color="auto"/>
        <w:right w:val="none" w:sz="0" w:space="0" w:color="auto"/>
      </w:divBdr>
      <w:divsChild>
        <w:div w:id="296879342">
          <w:marLeft w:val="0"/>
          <w:marRight w:val="0"/>
          <w:marTop w:val="0"/>
          <w:marBottom w:val="0"/>
          <w:divBdr>
            <w:top w:val="none" w:sz="0" w:space="0" w:color="auto"/>
            <w:left w:val="none" w:sz="0" w:space="0" w:color="auto"/>
            <w:bottom w:val="none" w:sz="0" w:space="0" w:color="auto"/>
            <w:right w:val="none" w:sz="0" w:space="0" w:color="auto"/>
          </w:divBdr>
          <w:divsChild>
            <w:div w:id="1595749567">
              <w:marLeft w:val="0"/>
              <w:marRight w:val="0"/>
              <w:marTop w:val="0"/>
              <w:marBottom w:val="0"/>
              <w:divBdr>
                <w:top w:val="none" w:sz="0" w:space="0" w:color="auto"/>
                <w:left w:val="none" w:sz="0" w:space="0" w:color="auto"/>
                <w:bottom w:val="none" w:sz="0" w:space="0" w:color="auto"/>
                <w:right w:val="none" w:sz="0" w:space="0" w:color="auto"/>
              </w:divBdr>
              <w:divsChild>
                <w:div w:id="338390750">
                  <w:marLeft w:val="105"/>
                  <w:marRight w:val="105"/>
                  <w:marTop w:val="0"/>
                  <w:marBottom w:val="0"/>
                  <w:divBdr>
                    <w:top w:val="none" w:sz="0" w:space="0" w:color="auto"/>
                    <w:left w:val="none" w:sz="0" w:space="0" w:color="auto"/>
                    <w:bottom w:val="none" w:sz="0" w:space="0" w:color="auto"/>
                    <w:right w:val="none" w:sz="0" w:space="0" w:color="auto"/>
                  </w:divBdr>
                  <w:divsChild>
                    <w:div w:id="68270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697997">
      <w:bodyDiv w:val="1"/>
      <w:marLeft w:val="0"/>
      <w:marRight w:val="0"/>
      <w:marTop w:val="0"/>
      <w:marBottom w:val="0"/>
      <w:divBdr>
        <w:top w:val="none" w:sz="0" w:space="0" w:color="auto"/>
        <w:left w:val="none" w:sz="0" w:space="0" w:color="auto"/>
        <w:bottom w:val="none" w:sz="0" w:space="0" w:color="auto"/>
        <w:right w:val="none" w:sz="0" w:space="0" w:color="auto"/>
      </w:divBdr>
      <w:divsChild>
        <w:div w:id="861162283">
          <w:marLeft w:val="0"/>
          <w:marRight w:val="0"/>
          <w:marTop w:val="0"/>
          <w:marBottom w:val="0"/>
          <w:divBdr>
            <w:top w:val="none" w:sz="0" w:space="0" w:color="auto"/>
            <w:left w:val="none" w:sz="0" w:space="0" w:color="auto"/>
            <w:bottom w:val="none" w:sz="0" w:space="0" w:color="auto"/>
            <w:right w:val="none" w:sz="0" w:space="0" w:color="auto"/>
          </w:divBdr>
        </w:div>
      </w:divsChild>
    </w:div>
    <w:div w:id="817039288">
      <w:bodyDiv w:val="1"/>
      <w:marLeft w:val="0"/>
      <w:marRight w:val="0"/>
      <w:marTop w:val="0"/>
      <w:marBottom w:val="0"/>
      <w:divBdr>
        <w:top w:val="none" w:sz="0" w:space="0" w:color="auto"/>
        <w:left w:val="none" w:sz="0" w:space="0" w:color="auto"/>
        <w:bottom w:val="none" w:sz="0" w:space="0" w:color="auto"/>
        <w:right w:val="none" w:sz="0" w:space="0" w:color="auto"/>
      </w:divBdr>
    </w:div>
    <w:div w:id="821039998">
      <w:bodyDiv w:val="1"/>
      <w:marLeft w:val="0"/>
      <w:marRight w:val="0"/>
      <w:marTop w:val="0"/>
      <w:marBottom w:val="0"/>
      <w:divBdr>
        <w:top w:val="none" w:sz="0" w:space="0" w:color="auto"/>
        <w:left w:val="none" w:sz="0" w:space="0" w:color="auto"/>
        <w:bottom w:val="none" w:sz="0" w:space="0" w:color="auto"/>
        <w:right w:val="none" w:sz="0" w:space="0" w:color="auto"/>
      </w:divBdr>
    </w:div>
    <w:div w:id="829559679">
      <w:bodyDiv w:val="1"/>
      <w:marLeft w:val="0"/>
      <w:marRight w:val="0"/>
      <w:marTop w:val="0"/>
      <w:marBottom w:val="0"/>
      <w:divBdr>
        <w:top w:val="none" w:sz="0" w:space="0" w:color="auto"/>
        <w:left w:val="none" w:sz="0" w:space="0" w:color="auto"/>
        <w:bottom w:val="none" w:sz="0" w:space="0" w:color="auto"/>
        <w:right w:val="none" w:sz="0" w:space="0" w:color="auto"/>
      </w:divBdr>
    </w:div>
    <w:div w:id="852303827">
      <w:bodyDiv w:val="1"/>
      <w:marLeft w:val="0"/>
      <w:marRight w:val="0"/>
      <w:marTop w:val="0"/>
      <w:marBottom w:val="0"/>
      <w:divBdr>
        <w:top w:val="none" w:sz="0" w:space="0" w:color="auto"/>
        <w:left w:val="none" w:sz="0" w:space="0" w:color="auto"/>
        <w:bottom w:val="none" w:sz="0" w:space="0" w:color="auto"/>
        <w:right w:val="none" w:sz="0" w:space="0" w:color="auto"/>
      </w:divBdr>
    </w:div>
    <w:div w:id="864947123">
      <w:bodyDiv w:val="1"/>
      <w:marLeft w:val="0"/>
      <w:marRight w:val="0"/>
      <w:marTop w:val="0"/>
      <w:marBottom w:val="0"/>
      <w:divBdr>
        <w:top w:val="none" w:sz="0" w:space="0" w:color="auto"/>
        <w:left w:val="none" w:sz="0" w:space="0" w:color="auto"/>
        <w:bottom w:val="none" w:sz="0" w:space="0" w:color="auto"/>
        <w:right w:val="none" w:sz="0" w:space="0" w:color="auto"/>
      </w:divBdr>
      <w:divsChild>
        <w:div w:id="992950760">
          <w:marLeft w:val="0"/>
          <w:marRight w:val="0"/>
          <w:marTop w:val="0"/>
          <w:marBottom w:val="0"/>
          <w:divBdr>
            <w:top w:val="none" w:sz="0" w:space="0" w:color="auto"/>
            <w:left w:val="none" w:sz="0" w:space="0" w:color="auto"/>
            <w:bottom w:val="none" w:sz="0" w:space="0" w:color="auto"/>
            <w:right w:val="none" w:sz="0" w:space="0" w:color="auto"/>
          </w:divBdr>
        </w:div>
      </w:divsChild>
    </w:div>
    <w:div w:id="888609024">
      <w:bodyDiv w:val="1"/>
      <w:marLeft w:val="0"/>
      <w:marRight w:val="0"/>
      <w:marTop w:val="0"/>
      <w:marBottom w:val="0"/>
      <w:divBdr>
        <w:top w:val="none" w:sz="0" w:space="0" w:color="auto"/>
        <w:left w:val="none" w:sz="0" w:space="0" w:color="auto"/>
        <w:bottom w:val="none" w:sz="0" w:space="0" w:color="auto"/>
        <w:right w:val="none" w:sz="0" w:space="0" w:color="auto"/>
      </w:divBdr>
    </w:div>
    <w:div w:id="895776100">
      <w:bodyDiv w:val="1"/>
      <w:marLeft w:val="0"/>
      <w:marRight w:val="0"/>
      <w:marTop w:val="0"/>
      <w:marBottom w:val="0"/>
      <w:divBdr>
        <w:top w:val="none" w:sz="0" w:space="0" w:color="auto"/>
        <w:left w:val="none" w:sz="0" w:space="0" w:color="auto"/>
        <w:bottom w:val="none" w:sz="0" w:space="0" w:color="auto"/>
        <w:right w:val="none" w:sz="0" w:space="0" w:color="auto"/>
      </w:divBdr>
    </w:div>
    <w:div w:id="904221936">
      <w:bodyDiv w:val="1"/>
      <w:marLeft w:val="0"/>
      <w:marRight w:val="0"/>
      <w:marTop w:val="0"/>
      <w:marBottom w:val="0"/>
      <w:divBdr>
        <w:top w:val="none" w:sz="0" w:space="0" w:color="auto"/>
        <w:left w:val="none" w:sz="0" w:space="0" w:color="auto"/>
        <w:bottom w:val="none" w:sz="0" w:space="0" w:color="auto"/>
        <w:right w:val="none" w:sz="0" w:space="0" w:color="auto"/>
      </w:divBdr>
    </w:div>
    <w:div w:id="910047177">
      <w:bodyDiv w:val="1"/>
      <w:marLeft w:val="0"/>
      <w:marRight w:val="0"/>
      <w:marTop w:val="0"/>
      <w:marBottom w:val="0"/>
      <w:divBdr>
        <w:top w:val="none" w:sz="0" w:space="0" w:color="auto"/>
        <w:left w:val="none" w:sz="0" w:space="0" w:color="auto"/>
        <w:bottom w:val="none" w:sz="0" w:space="0" w:color="auto"/>
        <w:right w:val="none" w:sz="0" w:space="0" w:color="auto"/>
      </w:divBdr>
    </w:div>
    <w:div w:id="920800407">
      <w:bodyDiv w:val="1"/>
      <w:marLeft w:val="0"/>
      <w:marRight w:val="0"/>
      <w:marTop w:val="0"/>
      <w:marBottom w:val="0"/>
      <w:divBdr>
        <w:top w:val="none" w:sz="0" w:space="0" w:color="auto"/>
        <w:left w:val="none" w:sz="0" w:space="0" w:color="auto"/>
        <w:bottom w:val="none" w:sz="0" w:space="0" w:color="auto"/>
        <w:right w:val="none" w:sz="0" w:space="0" w:color="auto"/>
      </w:divBdr>
      <w:divsChild>
        <w:div w:id="836075250">
          <w:marLeft w:val="0"/>
          <w:marRight w:val="0"/>
          <w:marTop w:val="0"/>
          <w:marBottom w:val="0"/>
          <w:divBdr>
            <w:top w:val="none" w:sz="0" w:space="0" w:color="auto"/>
            <w:left w:val="none" w:sz="0" w:space="0" w:color="auto"/>
            <w:bottom w:val="none" w:sz="0" w:space="0" w:color="auto"/>
            <w:right w:val="none" w:sz="0" w:space="0" w:color="auto"/>
          </w:divBdr>
          <w:divsChild>
            <w:div w:id="14826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03750">
      <w:bodyDiv w:val="1"/>
      <w:marLeft w:val="0"/>
      <w:marRight w:val="0"/>
      <w:marTop w:val="0"/>
      <w:marBottom w:val="0"/>
      <w:divBdr>
        <w:top w:val="none" w:sz="0" w:space="0" w:color="auto"/>
        <w:left w:val="none" w:sz="0" w:space="0" w:color="auto"/>
        <w:bottom w:val="none" w:sz="0" w:space="0" w:color="auto"/>
        <w:right w:val="none" w:sz="0" w:space="0" w:color="auto"/>
      </w:divBdr>
    </w:div>
    <w:div w:id="954023999">
      <w:bodyDiv w:val="1"/>
      <w:marLeft w:val="0"/>
      <w:marRight w:val="0"/>
      <w:marTop w:val="0"/>
      <w:marBottom w:val="0"/>
      <w:divBdr>
        <w:top w:val="none" w:sz="0" w:space="0" w:color="auto"/>
        <w:left w:val="none" w:sz="0" w:space="0" w:color="auto"/>
        <w:bottom w:val="none" w:sz="0" w:space="0" w:color="auto"/>
        <w:right w:val="none" w:sz="0" w:space="0" w:color="auto"/>
      </w:divBdr>
      <w:divsChild>
        <w:div w:id="297877240">
          <w:marLeft w:val="0"/>
          <w:marRight w:val="0"/>
          <w:marTop w:val="0"/>
          <w:marBottom w:val="0"/>
          <w:divBdr>
            <w:top w:val="none" w:sz="0" w:space="0" w:color="auto"/>
            <w:left w:val="none" w:sz="0" w:space="0" w:color="auto"/>
            <w:bottom w:val="none" w:sz="0" w:space="0" w:color="auto"/>
            <w:right w:val="none" w:sz="0" w:space="0" w:color="auto"/>
          </w:divBdr>
          <w:divsChild>
            <w:div w:id="125312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16277">
      <w:bodyDiv w:val="1"/>
      <w:marLeft w:val="0"/>
      <w:marRight w:val="0"/>
      <w:marTop w:val="0"/>
      <w:marBottom w:val="0"/>
      <w:divBdr>
        <w:top w:val="none" w:sz="0" w:space="0" w:color="auto"/>
        <w:left w:val="none" w:sz="0" w:space="0" w:color="auto"/>
        <w:bottom w:val="none" w:sz="0" w:space="0" w:color="auto"/>
        <w:right w:val="none" w:sz="0" w:space="0" w:color="auto"/>
      </w:divBdr>
    </w:div>
    <w:div w:id="1096973918">
      <w:bodyDiv w:val="1"/>
      <w:marLeft w:val="0"/>
      <w:marRight w:val="0"/>
      <w:marTop w:val="0"/>
      <w:marBottom w:val="0"/>
      <w:divBdr>
        <w:top w:val="none" w:sz="0" w:space="0" w:color="auto"/>
        <w:left w:val="none" w:sz="0" w:space="0" w:color="auto"/>
        <w:bottom w:val="none" w:sz="0" w:space="0" w:color="auto"/>
        <w:right w:val="none" w:sz="0" w:space="0" w:color="auto"/>
      </w:divBdr>
    </w:div>
    <w:div w:id="1108431747">
      <w:bodyDiv w:val="1"/>
      <w:marLeft w:val="0"/>
      <w:marRight w:val="0"/>
      <w:marTop w:val="0"/>
      <w:marBottom w:val="0"/>
      <w:divBdr>
        <w:top w:val="none" w:sz="0" w:space="0" w:color="auto"/>
        <w:left w:val="none" w:sz="0" w:space="0" w:color="auto"/>
        <w:bottom w:val="none" w:sz="0" w:space="0" w:color="auto"/>
        <w:right w:val="none" w:sz="0" w:space="0" w:color="auto"/>
      </w:divBdr>
    </w:div>
    <w:div w:id="1111583468">
      <w:bodyDiv w:val="1"/>
      <w:marLeft w:val="0"/>
      <w:marRight w:val="0"/>
      <w:marTop w:val="0"/>
      <w:marBottom w:val="0"/>
      <w:divBdr>
        <w:top w:val="none" w:sz="0" w:space="0" w:color="auto"/>
        <w:left w:val="none" w:sz="0" w:space="0" w:color="auto"/>
        <w:bottom w:val="none" w:sz="0" w:space="0" w:color="auto"/>
        <w:right w:val="none" w:sz="0" w:space="0" w:color="auto"/>
      </w:divBdr>
    </w:div>
    <w:div w:id="1120223886">
      <w:bodyDiv w:val="1"/>
      <w:marLeft w:val="0"/>
      <w:marRight w:val="0"/>
      <w:marTop w:val="0"/>
      <w:marBottom w:val="0"/>
      <w:divBdr>
        <w:top w:val="none" w:sz="0" w:space="0" w:color="auto"/>
        <w:left w:val="none" w:sz="0" w:space="0" w:color="auto"/>
        <w:bottom w:val="none" w:sz="0" w:space="0" w:color="auto"/>
        <w:right w:val="none" w:sz="0" w:space="0" w:color="auto"/>
      </w:divBdr>
    </w:div>
    <w:div w:id="1133064765">
      <w:bodyDiv w:val="1"/>
      <w:marLeft w:val="0"/>
      <w:marRight w:val="0"/>
      <w:marTop w:val="0"/>
      <w:marBottom w:val="0"/>
      <w:divBdr>
        <w:top w:val="none" w:sz="0" w:space="0" w:color="auto"/>
        <w:left w:val="none" w:sz="0" w:space="0" w:color="auto"/>
        <w:bottom w:val="none" w:sz="0" w:space="0" w:color="auto"/>
        <w:right w:val="none" w:sz="0" w:space="0" w:color="auto"/>
      </w:divBdr>
    </w:div>
    <w:div w:id="1164316534">
      <w:bodyDiv w:val="1"/>
      <w:marLeft w:val="0"/>
      <w:marRight w:val="0"/>
      <w:marTop w:val="0"/>
      <w:marBottom w:val="0"/>
      <w:divBdr>
        <w:top w:val="none" w:sz="0" w:space="0" w:color="auto"/>
        <w:left w:val="none" w:sz="0" w:space="0" w:color="auto"/>
        <w:bottom w:val="none" w:sz="0" w:space="0" w:color="auto"/>
        <w:right w:val="none" w:sz="0" w:space="0" w:color="auto"/>
      </w:divBdr>
    </w:div>
    <w:div w:id="1172915524">
      <w:bodyDiv w:val="1"/>
      <w:marLeft w:val="0"/>
      <w:marRight w:val="0"/>
      <w:marTop w:val="0"/>
      <w:marBottom w:val="0"/>
      <w:divBdr>
        <w:top w:val="none" w:sz="0" w:space="0" w:color="auto"/>
        <w:left w:val="none" w:sz="0" w:space="0" w:color="auto"/>
        <w:bottom w:val="none" w:sz="0" w:space="0" w:color="auto"/>
        <w:right w:val="none" w:sz="0" w:space="0" w:color="auto"/>
      </w:divBdr>
    </w:div>
    <w:div w:id="1190021578">
      <w:bodyDiv w:val="1"/>
      <w:marLeft w:val="0"/>
      <w:marRight w:val="0"/>
      <w:marTop w:val="0"/>
      <w:marBottom w:val="0"/>
      <w:divBdr>
        <w:top w:val="none" w:sz="0" w:space="0" w:color="auto"/>
        <w:left w:val="none" w:sz="0" w:space="0" w:color="auto"/>
        <w:bottom w:val="none" w:sz="0" w:space="0" w:color="auto"/>
        <w:right w:val="none" w:sz="0" w:space="0" w:color="auto"/>
      </w:divBdr>
    </w:div>
    <w:div w:id="1246918996">
      <w:bodyDiv w:val="1"/>
      <w:marLeft w:val="0"/>
      <w:marRight w:val="0"/>
      <w:marTop w:val="0"/>
      <w:marBottom w:val="0"/>
      <w:divBdr>
        <w:top w:val="none" w:sz="0" w:space="0" w:color="auto"/>
        <w:left w:val="none" w:sz="0" w:space="0" w:color="auto"/>
        <w:bottom w:val="none" w:sz="0" w:space="0" w:color="auto"/>
        <w:right w:val="none" w:sz="0" w:space="0" w:color="auto"/>
      </w:divBdr>
    </w:div>
    <w:div w:id="1306548667">
      <w:bodyDiv w:val="1"/>
      <w:marLeft w:val="0"/>
      <w:marRight w:val="0"/>
      <w:marTop w:val="0"/>
      <w:marBottom w:val="0"/>
      <w:divBdr>
        <w:top w:val="none" w:sz="0" w:space="0" w:color="auto"/>
        <w:left w:val="none" w:sz="0" w:space="0" w:color="auto"/>
        <w:bottom w:val="none" w:sz="0" w:space="0" w:color="auto"/>
        <w:right w:val="none" w:sz="0" w:space="0" w:color="auto"/>
      </w:divBdr>
    </w:div>
    <w:div w:id="1320500413">
      <w:bodyDiv w:val="1"/>
      <w:marLeft w:val="0"/>
      <w:marRight w:val="0"/>
      <w:marTop w:val="0"/>
      <w:marBottom w:val="0"/>
      <w:divBdr>
        <w:top w:val="none" w:sz="0" w:space="0" w:color="auto"/>
        <w:left w:val="none" w:sz="0" w:space="0" w:color="auto"/>
        <w:bottom w:val="none" w:sz="0" w:space="0" w:color="auto"/>
        <w:right w:val="none" w:sz="0" w:space="0" w:color="auto"/>
      </w:divBdr>
    </w:div>
    <w:div w:id="1330256429">
      <w:bodyDiv w:val="1"/>
      <w:marLeft w:val="0"/>
      <w:marRight w:val="0"/>
      <w:marTop w:val="0"/>
      <w:marBottom w:val="0"/>
      <w:divBdr>
        <w:top w:val="none" w:sz="0" w:space="0" w:color="auto"/>
        <w:left w:val="none" w:sz="0" w:space="0" w:color="auto"/>
        <w:bottom w:val="none" w:sz="0" w:space="0" w:color="auto"/>
        <w:right w:val="none" w:sz="0" w:space="0" w:color="auto"/>
      </w:divBdr>
    </w:div>
    <w:div w:id="1345591085">
      <w:bodyDiv w:val="1"/>
      <w:marLeft w:val="0"/>
      <w:marRight w:val="0"/>
      <w:marTop w:val="0"/>
      <w:marBottom w:val="0"/>
      <w:divBdr>
        <w:top w:val="none" w:sz="0" w:space="0" w:color="auto"/>
        <w:left w:val="none" w:sz="0" w:space="0" w:color="auto"/>
        <w:bottom w:val="none" w:sz="0" w:space="0" w:color="auto"/>
        <w:right w:val="none" w:sz="0" w:space="0" w:color="auto"/>
      </w:divBdr>
      <w:divsChild>
        <w:div w:id="1873029156">
          <w:marLeft w:val="0"/>
          <w:marRight w:val="0"/>
          <w:marTop w:val="0"/>
          <w:marBottom w:val="0"/>
          <w:divBdr>
            <w:top w:val="none" w:sz="0" w:space="0" w:color="auto"/>
            <w:left w:val="none" w:sz="0" w:space="0" w:color="auto"/>
            <w:bottom w:val="none" w:sz="0" w:space="0" w:color="auto"/>
            <w:right w:val="none" w:sz="0" w:space="0" w:color="auto"/>
          </w:divBdr>
          <w:divsChild>
            <w:div w:id="81568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733948">
      <w:bodyDiv w:val="1"/>
      <w:marLeft w:val="0"/>
      <w:marRight w:val="0"/>
      <w:marTop w:val="0"/>
      <w:marBottom w:val="0"/>
      <w:divBdr>
        <w:top w:val="none" w:sz="0" w:space="0" w:color="auto"/>
        <w:left w:val="none" w:sz="0" w:space="0" w:color="auto"/>
        <w:bottom w:val="none" w:sz="0" w:space="0" w:color="auto"/>
        <w:right w:val="none" w:sz="0" w:space="0" w:color="auto"/>
      </w:divBdr>
      <w:divsChild>
        <w:div w:id="1358845088">
          <w:marLeft w:val="0"/>
          <w:marRight w:val="0"/>
          <w:marTop w:val="0"/>
          <w:marBottom w:val="0"/>
          <w:divBdr>
            <w:top w:val="none" w:sz="0" w:space="0" w:color="auto"/>
            <w:left w:val="none" w:sz="0" w:space="0" w:color="auto"/>
            <w:bottom w:val="none" w:sz="0" w:space="0" w:color="auto"/>
            <w:right w:val="none" w:sz="0" w:space="0" w:color="auto"/>
          </w:divBdr>
          <w:divsChild>
            <w:div w:id="59698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757891">
      <w:bodyDiv w:val="1"/>
      <w:marLeft w:val="0"/>
      <w:marRight w:val="0"/>
      <w:marTop w:val="0"/>
      <w:marBottom w:val="0"/>
      <w:divBdr>
        <w:top w:val="none" w:sz="0" w:space="0" w:color="auto"/>
        <w:left w:val="none" w:sz="0" w:space="0" w:color="auto"/>
        <w:bottom w:val="none" w:sz="0" w:space="0" w:color="auto"/>
        <w:right w:val="none" w:sz="0" w:space="0" w:color="auto"/>
      </w:divBdr>
    </w:div>
    <w:div w:id="1428187605">
      <w:bodyDiv w:val="1"/>
      <w:marLeft w:val="0"/>
      <w:marRight w:val="0"/>
      <w:marTop w:val="0"/>
      <w:marBottom w:val="0"/>
      <w:divBdr>
        <w:top w:val="none" w:sz="0" w:space="0" w:color="auto"/>
        <w:left w:val="none" w:sz="0" w:space="0" w:color="auto"/>
        <w:bottom w:val="none" w:sz="0" w:space="0" w:color="auto"/>
        <w:right w:val="none" w:sz="0" w:space="0" w:color="auto"/>
      </w:divBdr>
    </w:div>
    <w:div w:id="1448281712">
      <w:bodyDiv w:val="1"/>
      <w:marLeft w:val="0"/>
      <w:marRight w:val="0"/>
      <w:marTop w:val="0"/>
      <w:marBottom w:val="0"/>
      <w:divBdr>
        <w:top w:val="none" w:sz="0" w:space="0" w:color="auto"/>
        <w:left w:val="none" w:sz="0" w:space="0" w:color="auto"/>
        <w:bottom w:val="none" w:sz="0" w:space="0" w:color="auto"/>
        <w:right w:val="none" w:sz="0" w:space="0" w:color="auto"/>
      </w:divBdr>
    </w:div>
    <w:div w:id="1452016098">
      <w:bodyDiv w:val="1"/>
      <w:marLeft w:val="0"/>
      <w:marRight w:val="0"/>
      <w:marTop w:val="0"/>
      <w:marBottom w:val="0"/>
      <w:divBdr>
        <w:top w:val="none" w:sz="0" w:space="0" w:color="auto"/>
        <w:left w:val="none" w:sz="0" w:space="0" w:color="auto"/>
        <w:bottom w:val="none" w:sz="0" w:space="0" w:color="auto"/>
        <w:right w:val="none" w:sz="0" w:space="0" w:color="auto"/>
      </w:divBdr>
    </w:div>
    <w:div w:id="1485199311">
      <w:bodyDiv w:val="1"/>
      <w:marLeft w:val="0"/>
      <w:marRight w:val="0"/>
      <w:marTop w:val="0"/>
      <w:marBottom w:val="0"/>
      <w:divBdr>
        <w:top w:val="none" w:sz="0" w:space="0" w:color="auto"/>
        <w:left w:val="none" w:sz="0" w:space="0" w:color="auto"/>
        <w:bottom w:val="none" w:sz="0" w:space="0" w:color="auto"/>
        <w:right w:val="none" w:sz="0" w:space="0" w:color="auto"/>
      </w:divBdr>
    </w:div>
    <w:div w:id="1506242611">
      <w:bodyDiv w:val="1"/>
      <w:marLeft w:val="0"/>
      <w:marRight w:val="0"/>
      <w:marTop w:val="0"/>
      <w:marBottom w:val="0"/>
      <w:divBdr>
        <w:top w:val="none" w:sz="0" w:space="0" w:color="auto"/>
        <w:left w:val="none" w:sz="0" w:space="0" w:color="auto"/>
        <w:bottom w:val="none" w:sz="0" w:space="0" w:color="auto"/>
        <w:right w:val="none" w:sz="0" w:space="0" w:color="auto"/>
      </w:divBdr>
    </w:div>
    <w:div w:id="1519126470">
      <w:bodyDiv w:val="1"/>
      <w:marLeft w:val="0"/>
      <w:marRight w:val="0"/>
      <w:marTop w:val="0"/>
      <w:marBottom w:val="0"/>
      <w:divBdr>
        <w:top w:val="none" w:sz="0" w:space="0" w:color="auto"/>
        <w:left w:val="none" w:sz="0" w:space="0" w:color="auto"/>
        <w:bottom w:val="none" w:sz="0" w:space="0" w:color="auto"/>
        <w:right w:val="none" w:sz="0" w:space="0" w:color="auto"/>
      </w:divBdr>
    </w:div>
    <w:div w:id="1537423769">
      <w:bodyDiv w:val="1"/>
      <w:marLeft w:val="0"/>
      <w:marRight w:val="0"/>
      <w:marTop w:val="0"/>
      <w:marBottom w:val="0"/>
      <w:divBdr>
        <w:top w:val="none" w:sz="0" w:space="0" w:color="auto"/>
        <w:left w:val="none" w:sz="0" w:space="0" w:color="auto"/>
        <w:bottom w:val="none" w:sz="0" w:space="0" w:color="auto"/>
        <w:right w:val="none" w:sz="0" w:space="0" w:color="auto"/>
      </w:divBdr>
      <w:divsChild>
        <w:div w:id="1786970167">
          <w:marLeft w:val="0"/>
          <w:marRight w:val="0"/>
          <w:marTop w:val="0"/>
          <w:marBottom w:val="0"/>
          <w:divBdr>
            <w:top w:val="none" w:sz="0" w:space="0" w:color="auto"/>
            <w:left w:val="none" w:sz="0" w:space="0" w:color="auto"/>
            <w:bottom w:val="none" w:sz="0" w:space="0" w:color="auto"/>
            <w:right w:val="none" w:sz="0" w:space="0" w:color="auto"/>
          </w:divBdr>
          <w:divsChild>
            <w:div w:id="114277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855218">
      <w:bodyDiv w:val="1"/>
      <w:marLeft w:val="0"/>
      <w:marRight w:val="0"/>
      <w:marTop w:val="0"/>
      <w:marBottom w:val="0"/>
      <w:divBdr>
        <w:top w:val="none" w:sz="0" w:space="0" w:color="auto"/>
        <w:left w:val="none" w:sz="0" w:space="0" w:color="auto"/>
        <w:bottom w:val="none" w:sz="0" w:space="0" w:color="auto"/>
        <w:right w:val="none" w:sz="0" w:space="0" w:color="auto"/>
      </w:divBdr>
    </w:div>
    <w:div w:id="1585457578">
      <w:bodyDiv w:val="1"/>
      <w:marLeft w:val="0"/>
      <w:marRight w:val="0"/>
      <w:marTop w:val="0"/>
      <w:marBottom w:val="0"/>
      <w:divBdr>
        <w:top w:val="none" w:sz="0" w:space="0" w:color="auto"/>
        <w:left w:val="none" w:sz="0" w:space="0" w:color="auto"/>
        <w:bottom w:val="none" w:sz="0" w:space="0" w:color="auto"/>
        <w:right w:val="none" w:sz="0" w:space="0" w:color="auto"/>
      </w:divBdr>
    </w:div>
    <w:div w:id="1590383363">
      <w:bodyDiv w:val="1"/>
      <w:marLeft w:val="0"/>
      <w:marRight w:val="0"/>
      <w:marTop w:val="0"/>
      <w:marBottom w:val="0"/>
      <w:divBdr>
        <w:top w:val="none" w:sz="0" w:space="0" w:color="auto"/>
        <w:left w:val="none" w:sz="0" w:space="0" w:color="auto"/>
        <w:bottom w:val="none" w:sz="0" w:space="0" w:color="auto"/>
        <w:right w:val="none" w:sz="0" w:space="0" w:color="auto"/>
      </w:divBdr>
    </w:div>
    <w:div w:id="1627007714">
      <w:bodyDiv w:val="1"/>
      <w:marLeft w:val="0"/>
      <w:marRight w:val="0"/>
      <w:marTop w:val="0"/>
      <w:marBottom w:val="0"/>
      <w:divBdr>
        <w:top w:val="none" w:sz="0" w:space="0" w:color="auto"/>
        <w:left w:val="none" w:sz="0" w:space="0" w:color="auto"/>
        <w:bottom w:val="none" w:sz="0" w:space="0" w:color="auto"/>
        <w:right w:val="none" w:sz="0" w:space="0" w:color="auto"/>
      </w:divBdr>
    </w:div>
    <w:div w:id="1639843763">
      <w:bodyDiv w:val="1"/>
      <w:marLeft w:val="0"/>
      <w:marRight w:val="0"/>
      <w:marTop w:val="0"/>
      <w:marBottom w:val="0"/>
      <w:divBdr>
        <w:top w:val="none" w:sz="0" w:space="0" w:color="auto"/>
        <w:left w:val="none" w:sz="0" w:space="0" w:color="auto"/>
        <w:bottom w:val="none" w:sz="0" w:space="0" w:color="auto"/>
        <w:right w:val="none" w:sz="0" w:space="0" w:color="auto"/>
      </w:divBdr>
    </w:div>
    <w:div w:id="1655913205">
      <w:bodyDiv w:val="1"/>
      <w:marLeft w:val="0"/>
      <w:marRight w:val="0"/>
      <w:marTop w:val="0"/>
      <w:marBottom w:val="0"/>
      <w:divBdr>
        <w:top w:val="none" w:sz="0" w:space="0" w:color="auto"/>
        <w:left w:val="none" w:sz="0" w:space="0" w:color="auto"/>
        <w:bottom w:val="none" w:sz="0" w:space="0" w:color="auto"/>
        <w:right w:val="none" w:sz="0" w:space="0" w:color="auto"/>
      </w:divBdr>
    </w:div>
    <w:div w:id="1661621245">
      <w:bodyDiv w:val="1"/>
      <w:marLeft w:val="0"/>
      <w:marRight w:val="0"/>
      <w:marTop w:val="0"/>
      <w:marBottom w:val="0"/>
      <w:divBdr>
        <w:top w:val="none" w:sz="0" w:space="0" w:color="auto"/>
        <w:left w:val="none" w:sz="0" w:space="0" w:color="auto"/>
        <w:bottom w:val="none" w:sz="0" w:space="0" w:color="auto"/>
        <w:right w:val="none" w:sz="0" w:space="0" w:color="auto"/>
      </w:divBdr>
      <w:divsChild>
        <w:div w:id="489448836">
          <w:marLeft w:val="0"/>
          <w:marRight w:val="0"/>
          <w:marTop w:val="0"/>
          <w:marBottom w:val="0"/>
          <w:divBdr>
            <w:top w:val="none" w:sz="0" w:space="0" w:color="auto"/>
            <w:left w:val="none" w:sz="0" w:space="0" w:color="auto"/>
            <w:bottom w:val="none" w:sz="0" w:space="0" w:color="auto"/>
            <w:right w:val="none" w:sz="0" w:space="0" w:color="auto"/>
          </w:divBdr>
          <w:divsChild>
            <w:div w:id="87192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410045">
      <w:bodyDiv w:val="1"/>
      <w:marLeft w:val="0"/>
      <w:marRight w:val="0"/>
      <w:marTop w:val="0"/>
      <w:marBottom w:val="0"/>
      <w:divBdr>
        <w:top w:val="none" w:sz="0" w:space="0" w:color="auto"/>
        <w:left w:val="none" w:sz="0" w:space="0" w:color="auto"/>
        <w:bottom w:val="none" w:sz="0" w:space="0" w:color="auto"/>
        <w:right w:val="none" w:sz="0" w:space="0" w:color="auto"/>
      </w:divBdr>
      <w:divsChild>
        <w:div w:id="1124082293">
          <w:marLeft w:val="0"/>
          <w:marRight w:val="0"/>
          <w:marTop w:val="0"/>
          <w:marBottom w:val="0"/>
          <w:divBdr>
            <w:top w:val="none" w:sz="0" w:space="0" w:color="auto"/>
            <w:left w:val="none" w:sz="0" w:space="0" w:color="auto"/>
            <w:bottom w:val="none" w:sz="0" w:space="0" w:color="auto"/>
            <w:right w:val="none" w:sz="0" w:space="0" w:color="auto"/>
          </w:divBdr>
          <w:divsChild>
            <w:div w:id="42207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606744">
      <w:bodyDiv w:val="1"/>
      <w:marLeft w:val="0"/>
      <w:marRight w:val="0"/>
      <w:marTop w:val="0"/>
      <w:marBottom w:val="0"/>
      <w:divBdr>
        <w:top w:val="none" w:sz="0" w:space="0" w:color="auto"/>
        <w:left w:val="none" w:sz="0" w:space="0" w:color="auto"/>
        <w:bottom w:val="none" w:sz="0" w:space="0" w:color="auto"/>
        <w:right w:val="none" w:sz="0" w:space="0" w:color="auto"/>
      </w:divBdr>
    </w:div>
    <w:div w:id="1732148087">
      <w:bodyDiv w:val="1"/>
      <w:marLeft w:val="0"/>
      <w:marRight w:val="0"/>
      <w:marTop w:val="0"/>
      <w:marBottom w:val="0"/>
      <w:divBdr>
        <w:top w:val="none" w:sz="0" w:space="0" w:color="auto"/>
        <w:left w:val="none" w:sz="0" w:space="0" w:color="auto"/>
        <w:bottom w:val="none" w:sz="0" w:space="0" w:color="auto"/>
        <w:right w:val="none" w:sz="0" w:space="0" w:color="auto"/>
      </w:divBdr>
      <w:divsChild>
        <w:div w:id="1925410026">
          <w:marLeft w:val="0"/>
          <w:marRight w:val="0"/>
          <w:marTop w:val="100"/>
          <w:marBottom w:val="100"/>
          <w:divBdr>
            <w:top w:val="none" w:sz="0" w:space="0" w:color="auto"/>
            <w:left w:val="none" w:sz="0" w:space="0" w:color="auto"/>
            <w:bottom w:val="none" w:sz="0" w:space="0" w:color="auto"/>
            <w:right w:val="none" w:sz="0" w:space="0" w:color="auto"/>
          </w:divBdr>
          <w:divsChild>
            <w:div w:id="567618212">
              <w:marLeft w:val="0"/>
              <w:marRight w:val="0"/>
              <w:marTop w:val="450"/>
              <w:marBottom w:val="100"/>
              <w:divBdr>
                <w:top w:val="none" w:sz="0" w:space="0" w:color="auto"/>
                <w:left w:val="none" w:sz="0" w:space="0" w:color="auto"/>
                <w:bottom w:val="none" w:sz="0" w:space="0" w:color="auto"/>
                <w:right w:val="none" w:sz="0" w:space="0" w:color="auto"/>
              </w:divBdr>
              <w:divsChild>
                <w:div w:id="15194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994217">
      <w:bodyDiv w:val="1"/>
      <w:marLeft w:val="0"/>
      <w:marRight w:val="0"/>
      <w:marTop w:val="0"/>
      <w:marBottom w:val="0"/>
      <w:divBdr>
        <w:top w:val="none" w:sz="0" w:space="0" w:color="auto"/>
        <w:left w:val="none" w:sz="0" w:space="0" w:color="auto"/>
        <w:bottom w:val="none" w:sz="0" w:space="0" w:color="auto"/>
        <w:right w:val="none" w:sz="0" w:space="0" w:color="auto"/>
      </w:divBdr>
    </w:div>
    <w:div w:id="1791320887">
      <w:bodyDiv w:val="1"/>
      <w:marLeft w:val="0"/>
      <w:marRight w:val="0"/>
      <w:marTop w:val="100"/>
      <w:marBottom w:val="100"/>
      <w:divBdr>
        <w:top w:val="none" w:sz="0" w:space="0" w:color="auto"/>
        <w:left w:val="none" w:sz="0" w:space="0" w:color="auto"/>
        <w:bottom w:val="none" w:sz="0" w:space="0" w:color="auto"/>
        <w:right w:val="none" w:sz="0" w:space="0" w:color="auto"/>
      </w:divBdr>
      <w:divsChild>
        <w:div w:id="1086263844">
          <w:marLeft w:val="0"/>
          <w:marRight w:val="0"/>
          <w:marTop w:val="100"/>
          <w:marBottom w:val="100"/>
          <w:divBdr>
            <w:top w:val="none" w:sz="0" w:space="0" w:color="auto"/>
            <w:left w:val="none" w:sz="0" w:space="0" w:color="auto"/>
            <w:bottom w:val="none" w:sz="0" w:space="0" w:color="auto"/>
            <w:right w:val="none" w:sz="0" w:space="0" w:color="auto"/>
          </w:divBdr>
          <w:divsChild>
            <w:div w:id="1773935753">
              <w:marLeft w:val="0"/>
              <w:marRight w:val="0"/>
              <w:marTop w:val="0"/>
              <w:marBottom w:val="0"/>
              <w:divBdr>
                <w:top w:val="none" w:sz="0" w:space="0" w:color="auto"/>
                <w:left w:val="none" w:sz="0" w:space="0" w:color="auto"/>
                <w:bottom w:val="none" w:sz="0" w:space="0" w:color="auto"/>
                <w:right w:val="none" w:sz="0" w:space="0" w:color="auto"/>
              </w:divBdr>
              <w:divsChild>
                <w:div w:id="874348279">
                  <w:marLeft w:val="0"/>
                  <w:marRight w:val="0"/>
                  <w:marTop w:val="0"/>
                  <w:marBottom w:val="300"/>
                  <w:divBdr>
                    <w:top w:val="none" w:sz="0" w:space="0" w:color="auto"/>
                    <w:left w:val="none" w:sz="0" w:space="0" w:color="auto"/>
                    <w:bottom w:val="none" w:sz="0" w:space="0" w:color="auto"/>
                    <w:right w:val="none" w:sz="0" w:space="0" w:color="auto"/>
                  </w:divBdr>
                  <w:divsChild>
                    <w:div w:id="1008479533">
                      <w:marLeft w:val="0"/>
                      <w:marRight w:val="0"/>
                      <w:marTop w:val="0"/>
                      <w:marBottom w:val="0"/>
                      <w:divBdr>
                        <w:top w:val="none" w:sz="0" w:space="0" w:color="auto"/>
                        <w:left w:val="none" w:sz="0" w:space="0" w:color="auto"/>
                        <w:bottom w:val="none" w:sz="0" w:space="0" w:color="auto"/>
                        <w:right w:val="none" w:sz="0" w:space="0" w:color="auto"/>
                      </w:divBdr>
                      <w:divsChild>
                        <w:div w:id="559098514">
                          <w:marLeft w:val="0"/>
                          <w:marRight w:val="0"/>
                          <w:marTop w:val="225"/>
                          <w:marBottom w:val="375"/>
                          <w:divBdr>
                            <w:top w:val="none" w:sz="0" w:space="0" w:color="auto"/>
                            <w:left w:val="none" w:sz="0" w:space="0" w:color="auto"/>
                            <w:bottom w:val="none" w:sz="0" w:space="0" w:color="auto"/>
                            <w:right w:val="none" w:sz="0" w:space="0" w:color="auto"/>
                          </w:divBdr>
                          <w:divsChild>
                            <w:div w:id="25999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7255124">
      <w:bodyDiv w:val="1"/>
      <w:marLeft w:val="0"/>
      <w:marRight w:val="0"/>
      <w:marTop w:val="0"/>
      <w:marBottom w:val="0"/>
      <w:divBdr>
        <w:top w:val="none" w:sz="0" w:space="0" w:color="auto"/>
        <w:left w:val="none" w:sz="0" w:space="0" w:color="auto"/>
        <w:bottom w:val="none" w:sz="0" w:space="0" w:color="auto"/>
        <w:right w:val="none" w:sz="0" w:space="0" w:color="auto"/>
      </w:divBdr>
      <w:divsChild>
        <w:div w:id="2001108190">
          <w:marLeft w:val="0"/>
          <w:marRight w:val="0"/>
          <w:marTop w:val="0"/>
          <w:marBottom w:val="0"/>
          <w:divBdr>
            <w:top w:val="none" w:sz="0" w:space="0" w:color="auto"/>
            <w:left w:val="none" w:sz="0" w:space="0" w:color="auto"/>
            <w:bottom w:val="none" w:sz="0" w:space="0" w:color="auto"/>
            <w:right w:val="none" w:sz="0" w:space="0" w:color="auto"/>
          </w:divBdr>
          <w:divsChild>
            <w:div w:id="6049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049567">
      <w:bodyDiv w:val="1"/>
      <w:marLeft w:val="0"/>
      <w:marRight w:val="0"/>
      <w:marTop w:val="0"/>
      <w:marBottom w:val="0"/>
      <w:divBdr>
        <w:top w:val="none" w:sz="0" w:space="0" w:color="auto"/>
        <w:left w:val="none" w:sz="0" w:space="0" w:color="auto"/>
        <w:bottom w:val="none" w:sz="0" w:space="0" w:color="auto"/>
        <w:right w:val="none" w:sz="0" w:space="0" w:color="auto"/>
      </w:divBdr>
      <w:divsChild>
        <w:div w:id="1847672906">
          <w:marLeft w:val="0"/>
          <w:marRight w:val="0"/>
          <w:marTop w:val="0"/>
          <w:marBottom w:val="0"/>
          <w:divBdr>
            <w:top w:val="none" w:sz="0" w:space="0" w:color="auto"/>
            <w:left w:val="none" w:sz="0" w:space="0" w:color="auto"/>
            <w:bottom w:val="none" w:sz="0" w:space="0" w:color="auto"/>
            <w:right w:val="none" w:sz="0" w:space="0" w:color="auto"/>
          </w:divBdr>
          <w:divsChild>
            <w:div w:id="205923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103019">
      <w:bodyDiv w:val="1"/>
      <w:marLeft w:val="0"/>
      <w:marRight w:val="0"/>
      <w:marTop w:val="0"/>
      <w:marBottom w:val="0"/>
      <w:divBdr>
        <w:top w:val="none" w:sz="0" w:space="0" w:color="auto"/>
        <w:left w:val="none" w:sz="0" w:space="0" w:color="auto"/>
        <w:bottom w:val="none" w:sz="0" w:space="0" w:color="auto"/>
        <w:right w:val="none" w:sz="0" w:space="0" w:color="auto"/>
      </w:divBdr>
    </w:div>
    <w:div w:id="1860392188">
      <w:bodyDiv w:val="1"/>
      <w:marLeft w:val="0"/>
      <w:marRight w:val="0"/>
      <w:marTop w:val="0"/>
      <w:marBottom w:val="0"/>
      <w:divBdr>
        <w:top w:val="none" w:sz="0" w:space="0" w:color="auto"/>
        <w:left w:val="none" w:sz="0" w:space="0" w:color="auto"/>
        <w:bottom w:val="none" w:sz="0" w:space="0" w:color="auto"/>
        <w:right w:val="none" w:sz="0" w:space="0" w:color="auto"/>
      </w:divBdr>
    </w:div>
    <w:div w:id="1889224361">
      <w:bodyDiv w:val="1"/>
      <w:marLeft w:val="0"/>
      <w:marRight w:val="0"/>
      <w:marTop w:val="0"/>
      <w:marBottom w:val="0"/>
      <w:divBdr>
        <w:top w:val="none" w:sz="0" w:space="0" w:color="auto"/>
        <w:left w:val="none" w:sz="0" w:space="0" w:color="auto"/>
        <w:bottom w:val="none" w:sz="0" w:space="0" w:color="auto"/>
        <w:right w:val="none" w:sz="0" w:space="0" w:color="auto"/>
      </w:divBdr>
    </w:div>
    <w:div w:id="1892113936">
      <w:bodyDiv w:val="1"/>
      <w:marLeft w:val="0"/>
      <w:marRight w:val="0"/>
      <w:marTop w:val="0"/>
      <w:marBottom w:val="0"/>
      <w:divBdr>
        <w:top w:val="none" w:sz="0" w:space="0" w:color="auto"/>
        <w:left w:val="none" w:sz="0" w:space="0" w:color="auto"/>
        <w:bottom w:val="none" w:sz="0" w:space="0" w:color="auto"/>
        <w:right w:val="none" w:sz="0" w:space="0" w:color="auto"/>
      </w:divBdr>
      <w:divsChild>
        <w:div w:id="735859591">
          <w:marLeft w:val="0"/>
          <w:marRight w:val="0"/>
          <w:marTop w:val="0"/>
          <w:marBottom w:val="0"/>
          <w:divBdr>
            <w:top w:val="none" w:sz="0" w:space="0" w:color="auto"/>
            <w:left w:val="none" w:sz="0" w:space="0" w:color="auto"/>
            <w:bottom w:val="none" w:sz="0" w:space="0" w:color="auto"/>
            <w:right w:val="none" w:sz="0" w:space="0" w:color="auto"/>
          </w:divBdr>
        </w:div>
      </w:divsChild>
    </w:div>
    <w:div w:id="1896161842">
      <w:bodyDiv w:val="1"/>
      <w:marLeft w:val="0"/>
      <w:marRight w:val="0"/>
      <w:marTop w:val="0"/>
      <w:marBottom w:val="0"/>
      <w:divBdr>
        <w:top w:val="none" w:sz="0" w:space="0" w:color="auto"/>
        <w:left w:val="none" w:sz="0" w:space="0" w:color="auto"/>
        <w:bottom w:val="none" w:sz="0" w:space="0" w:color="auto"/>
        <w:right w:val="none" w:sz="0" w:space="0" w:color="auto"/>
      </w:divBdr>
    </w:div>
    <w:div w:id="1900556515">
      <w:bodyDiv w:val="1"/>
      <w:marLeft w:val="0"/>
      <w:marRight w:val="0"/>
      <w:marTop w:val="0"/>
      <w:marBottom w:val="0"/>
      <w:divBdr>
        <w:top w:val="none" w:sz="0" w:space="0" w:color="auto"/>
        <w:left w:val="none" w:sz="0" w:space="0" w:color="auto"/>
        <w:bottom w:val="none" w:sz="0" w:space="0" w:color="auto"/>
        <w:right w:val="none" w:sz="0" w:space="0" w:color="auto"/>
      </w:divBdr>
      <w:divsChild>
        <w:div w:id="1656716127">
          <w:marLeft w:val="0"/>
          <w:marRight w:val="0"/>
          <w:marTop w:val="0"/>
          <w:marBottom w:val="0"/>
          <w:divBdr>
            <w:top w:val="none" w:sz="0" w:space="0" w:color="auto"/>
            <w:left w:val="none" w:sz="0" w:space="0" w:color="auto"/>
            <w:bottom w:val="none" w:sz="0" w:space="0" w:color="auto"/>
            <w:right w:val="none" w:sz="0" w:space="0" w:color="auto"/>
          </w:divBdr>
        </w:div>
      </w:divsChild>
    </w:div>
    <w:div w:id="1906715273">
      <w:bodyDiv w:val="1"/>
      <w:marLeft w:val="0"/>
      <w:marRight w:val="0"/>
      <w:marTop w:val="0"/>
      <w:marBottom w:val="0"/>
      <w:divBdr>
        <w:top w:val="none" w:sz="0" w:space="0" w:color="auto"/>
        <w:left w:val="none" w:sz="0" w:space="0" w:color="auto"/>
        <w:bottom w:val="none" w:sz="0" w:space="0" w:color="auto"/>
        <w:right w:val="none" w:sz="0" w:space="0" w:color="auto"/>
      </w:divBdr>
    </w:div>
    <w:div w:id="1965501924">
      <w:bodyDiv w:val="1"/>
      <w:marLeft w:val="0"/>
      <w:marRight w:val="0"/>
      <w:marTop w:val="0"/>
      <w:marBottom w:val="0"/>
      <w:divBdr>
        <w:top w:val="none" w:sz="0" w:space="0" w:color="auto"/>
        <w:left w:val="none" w:sz="0" w:space="0" w:color="auto"/>
        <w:bottom w:val="none" w:sz="0" w:space="0" w:color="auto"/>
        <w:right w:val="none" w:sz="0" w:space="0" w:color="auto"/>
      </w:divBdr>
    </w:div>
    <w:div w:id="2026133488">
      <w:bodyDiv w:val="1"/>
      <w:marLeft w:val="0"/>
      <w:marRight w:val="0"/>
      <w:marTop w:val="0"/>
      <w:marBottom w:val="0"/>
      <w:divBdr>
        <w:top w:val="none" w:sz="0" w:space="0" w:color="auto"/>
        <w:left w:val="none" w:sz="0" w:space="0" w:color="auto"/>
        <w:bottom w:val="none" w:sz="0" w:space="0" w:color="auto"/>
        <w:right w:val="none" w:sz="0" w:space="0" w:color="auto"/>
      </w:divBdr>
    </w:div>
    <w:div w:id="2095929298">
      <w:bodyDiv w:val="1"/>
      <w:marLeft w:val="0"/>
      <w:marRight w:val="0"/>
      <w:marTop w:val="0"/>
      <w:marBottom w:val="0"/>
      <w:divBdr>
        <w:top w:val="none" w:sz="0" w:space="0" w:color="auto"/>
        <w:left w:val="none" w:sz="0" w:space="0" w:color="auto"/>
        <w:bottom w:val="none" w:sz="0" w:space="0" w:color="auto"/>
        <w:right w:val="none" w:sz="0" w:space="0" w:color="auto"/>
      </w:divBdr>
    </w:div>
    <w:div w:id="2097633311">
      <w:bodyDiv w:val="1"/>
      <w:marLeft w:val="0"/>
      <w:marRight w:val="0"/>
      <w:marTop w:val="0"/>
      <w:marBottom w:val="0"/>
      <w:divBdr>
        <w:top w:val="none" w:sz="0" w:space="0" w:color="auto"/>
        <w:left w:val="none" w:sz="0" w:space="0" w:color="auto"/>
        <w:bottom w:val="none" w:sz="0" w:space="0" w:color="auto"/>
        <w:right w:val="none" w:sz="0" w:space="0" w:color="auto"/>
      </w:divBdr>
    </w:div>
    <w:div w:id="2111654576">
      <w:bodyDiv w:val="1"/>
      <w:marLeft w:val="0"/>
      <w:marRight w:val="0"/>
      <w:marTop w:val="0"/>
      <w:marBottom w:val="0"/>
      <w:divBdr>
        <w:top w:val="none" w:sz="0" w:space="0" w:color="auto"/>
        <w:left w:val="none" w:sz="0" w:space="0" w:color="auto"/>
        <w:bottom w:val="none" w:sz="0" w:space="0" w:color="auto"/>
        <w:right w:val="none" w:sz="0" w:space="0" w:color="auto"/>
      </w:divBdr>
      <w:divsChild>
        <w:div w:id="2115515137">
          <w:marLeft w:val="0"/>
          <w:marRight w:val="0"/>
          <w:marTop w:val="0"/>
          <w:marBottom w:val="0"/>
          <w:divBdr>
            <w:top w:val="none" w:sz="0" w:space="0" w:color="auto"/>
            <w:left w:val="none" w:sz="0" w:space="0" w:color="auto"/>
            <w:bottom w:val="none" w:sz="0" w:space="0" w:color="auto"/>
            <w:right w:val="none" w:sz="0" w:space="0" w:color="auto"/>
          </w:divBdr>
          <w:divsChild>
            <w:div w:id="1785811517">
              <w:marLeft w:val="0"/>
              <w:marRight w:val="0"/>
              <w:marTop w:val="0"/>
              <w:marBottom w:val="0"/>
              <w:divBdr>
                <w:top w:val="none" w:sz="0" w:space="0" w:color="auto"/>
                <w:left w:val="none" w:sz="0" w:space="0" w:color="auto"/>
                <w:bottom w:val="none" w:sz="0" w:space="0" w:color="auto"/>
                <w:right w:val="none" w:sz="0" w:space="0" w:color="auto"/>
              </w:divBdr>
              <w:divsChild>
                <w:div w:id="78912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79434">
      <w:bodyDiv w:val="1"/>
      <w:marLeft w:val="0"/>
      <w:marRight w:val="0"/>
      <w:marTop w:val="0"/>
      <w:marBottom w:val="0"/>
      <w:divBdr>
        <w:top w:val="none" w:sz="0" w:space="0" w:color="auto"/>
        <w:left w:val="none" w:sz="0" w:space="0" w:color="auto"/>
        <w:bottom w:val="none" w:sz="0" w:space="0" w:color="auto"/>
        <w:right w:val="none" w:sz="0" w:space="0" w:color="auto"/>
      </w:divBdr>
    </w:div>
    <w:div w:id="2146965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aizi.org.cn/law/296.html" TargetMode="External"/><Relationship Id="rId117" Type="http://schemas.openxmlformats.org/officeDocument/2006/relationships/hyperlink" Target="https://www.tuliu.com/tags/54.html" TargetMode="External"/><Relationship Id="rId21" Type="http://schemas.openxmlformats.org/officeDocument/2006/relationships/hyperlink" Target="http://www.shui5.cn/article/00/76838.html" TargetMode="External"/><Relationship Id="rId42" Type="http://schemas.openxmlformats.org/officeDocument/2006/relationships/hyperlink" Target="http://www.waizi.org.cn/law/13134.html" TargetMode="External"/><Relationship Id="rId47" Type="http://schemas.openxmlformats.org/officeDocument/2006/relationships/image" Target="media/image3.jpeg"/><Relationship Id="rId63" Type="http://schemas.openxmlformats.org/officeDocument/2006/relationships/hyperlink" Target="http://www.shui5.cn/article/9f/120568.html" TargetMode="External"/><Relationship Id="rId68" Type="http://schemas.openxmlformats.org/officeDocument/2006/relationships/hyperlink" Target="http://www.shui5.cn/article/9f/120568.html" TargetMode="External"/><Relationship Id="rId84" Type="http://schemas.openxmlformats.org/officeDocument/2006/relationships/hyperlink" Target="http://www.amac.org.cn/cms/contentcore/resource/download?ID=2920" TargetMode="External"/><Relationship Id="rId89" Type="http://schemas.openxmlformats.org/officeDocument/2006/relationships/hyperlink" Target="https://www.tuliu.com/tags/303.html" TargetMode="External"/><Relationship Id="rId112" Type="http://schemas.openxmlformats.org/officeDocument/2006/relationships/hyperlink" Target="https://www.tuliu.com/tags/149.html" TargetMode="External"/><Relationship Id="rId133" Type="http://schemas.openxmlformats.org/officeDocument/2006/relationships/hyperlink" Target="http://www.askci.com/reports/20180228/1126467146829320.shtml" TargetMode="External"/><Relationship Id="rId138" Type="http://schemas.openxmlformats.org/officeDocument/2006/relationships/hyperlink" Target="http://www.askci.com/reports/2014/12/31/14017g8cc.shtml" TargetMode="External"/><Relationship Id="rId154" Type="http://schemas.openxmlformats.org/officeDocument/2006/relationships/hyperlink" Target="http://money.163.com/keywords/5/d/53d15c55/1.html" TargetMode="External"/><Relationship Id="rId16" Type="http://schemas.openxmlformats.org/officeDocument/2006/relationships/hyperlink" Target="http://www.shui5.cn/article/20/77913.html" TargetMode="External"/><Relationship Id="rId107" Type="http://schemas.openxmlformats.org/officeDocument/2006/relationships/hyperlink" Target="http://www.gov.cn/xinwen/2017-05/11/5192975/files/0c5aff132187441c894ac0cf04b087d9.doc" TargetMode="External"/><Relationship Id="rId11" Type="http://schemas.openxmlformats.org/officeDocument/2006/relationships/hyperlink" Target="http://www.shui5.cn/article/b9/45737.html" TargetMode="External"/><Relationship Id="rId32" Type="http://schemas.openxmlformats.org/officeDocument/2006/relationships/hyperlink" Target="http://www.waizi.org.cn/news/1032.html" TargetMode="External"/><Relationship Id="rId37" Type="http://schemas.openxmlformats.org/officeDocument/2006/relationships/hyperlink" Target="http://www.waizi.org.cn/law/296.html" TargetMode="External"/><Relationship Id="rId53" Type="http://schemas.openxmlformats.org/officeDocument/2006/relationships/hyperlink" Target="http://www.tanpaifang.com/ditanshequ" TargetMode="External"/><Relationship Id="rId58" Type="http://schemas.openxmlformats.org/officeDocument/2006/relationships/hyperlink" Target="http://www.shui5.cn/article/9f/120568.html" TargetMode="External"/><Relationship Id="rId74" Type="http://schemas.openxmlformats.org/officeDocument/2006/relationships/hyperlink" Target="http://www.shui5.cn/article/9f/120568.html" TargetMode="External"/><Relationship Id="rId79" Type="http://schemas.openxmlformats.org/officeDocument/2006/relationships/hyperlink" Target="mailto:sseabs@sse.com.cn" TargetMode="External"/><Relationship Id="rId102" Type="http://schemas.openxmlformats.org/officeDocument/2006/relationships/hyperlink" Target="https://www.tuliu.com/gongying/shuitian/" TargetMode="External"/><Relationship Id="rId123" Type="http://schemas.openxmlformats.org/officeDocument/2006/relationships/hyperlink" Target="https://www.tuliu.com/tags/47.html" TargetMode="External"/><Relationship Id="rId128" Type="http://schemas.openxmlformats.org/officeDocument/2006/relationships/hyperlink" Target="https://www.tuliu.com/news/list-c129" TargetMode="External"/><Relationship Id="rId144" Type="http://schemas.openxmlformats.org/officeDocument/2006/relationships/hyperlink" Target="http://www.askci.com/reports/20180201/1407425302827759.shtml" TargetMode="External"/><Relationship Id="rId149" Type="http://schemas.openxmlformats.org/officeDocument/2006/relationships/hyperlink" Target="http://www.askci.com/reports/2014/12/30/135828j9qu.shtml" TargetMode="External"/><Relationship Id="rId5" Type="http://schemas.openxmlformats.org/officeDocument/2006/relationships/settings" Target="settings.xml"/><Relationship Id="rId90" Type="http://schemas.openxmlformats.org/officeDocument/2006/relationships/hyperlink" Target="https://www.tuliu.com/tags/299.html" TargetMode="External"/><Relationship Id="rId95" Type="http://schemas.openxmlformats.org/officeDocument/2006/relationships/hyperlink" Target="https://www.tuliu.com/tags/307.html" TargetMode="External"/><Relationship Id="rId22" Type="http://schemas.openxmlformats.org/officeDocument/2006/relationships/hyperlink" Target="http://www.shui5.cn/article/00/76838.html" TargetMode="External"/><Relationship Id="rId27" Type="http://schemas.openxmlformats.org/officeDocument/2006/relationships/hyperlink" Target="http://www.waizi.org.cn/law/3845.html" TargetMode="External"/><Relationship Id="rId43" Type="http://schemas.openxmlformats.org/officeDocument/2006/relationships/hyperlink" Target="http://www.waizi.org.cn/news/1032.html" TargetMode="External"/><Relationship Id="rId48" Type="http://schemas.openxmlformats.org/officeDocument/2006/relationships/hyperlink" Target="http://www.tanpaifang.com/jienenjianpai/" TargetMode="External"/><Relationship Id="rId64" Type="http://schemas.openxmlformats.org/officeDocument/2006/relationships/hyperlink" Target="http://www.shui5.cn/article/9f/120568.html" TargetMode="External"/><Relationship Id="rId69" Type="http://schemas.openxmlformats.org/officeDocument/2006/relationships/hyperlink" Target="http://www.shui5.cn/article/9f/120568.html" TargetMode="External"/><Relationship Id="rId113" Type="http://schemas.openxmlformats.org/officeDocument/2006/relationships/hyperlink" Target="https://www.tuliu.com/tags/305.html" TargetMode="External"/><Relationship Id="rId118" Type="http://schemas.openxmlformats.org/officeDocument/2006/relationships/hyperlink" Target="https://guangdong.tuliu.com/gongying/" TargetMode="External"/><Relationship Id="rId134" Type="http://schemas.openxmlformats.org/officeDocument/2006/relationships/hyperlink" Target="http://www.askci.com/reports/2015/01/04/9418m64r.shtml" TargetMode="External"/><Relationship Id="rId139" Type="http://schemas.openxmlformats.org/officeDocument/2006/relationships/hyperlink" Target="http://www.askci.com/reports/2016/02/18/042327238533.shtml" TargetMode="External"/><Relationship Id="rId80" Type="http://schemas.openxmlformats.org/officeDocument/2006/relationships/hyperlink" Target="http://www.amac.org.cn/cms/contentcore/resource/download?ID=2916" TargetMode="External"/><Relationship Id="rId85" Type="http://schemas.openxmlformats.org/officeDocument/2006/relationships/hyperlink" Target="http://www.amac.org.cn/cms/contentcore/resource/download?ID=2923" TargetMode="External"/><Relationship Id="rId150" Type="http://schemas.openxmlformats.org/officeDocument/2006/relationships/hyperlink" Target="http://www.askci.com/reports/2015/08/03/175222fgxs.shtml" TargetMode="External"/><Relationship Id="rId155" Type="http://schemas.openxmlformats.org/officeDocument/2006/relationships/hyperlink" Target="http://money.163.com/keywords/4/a/4ea74e1a96c67fa4/1.html" TargetMode="External"/><Relationship Id="rId12" Type="http://schemas.openxmlformats.org/officeDocument/2006/relationships/hyperlink" Target="http://www.shui5.cn/article/b9/45737.html" TargetMode="External"/><Relationship Id="rId17" Type="http://schemas.openxmlformats.org/officeDocument/2006/relationships/hyperlink" Target="http://www.shui5.cn/article/c0/76642.html" TargetMode="External"/><Relationship Id="rId33" Type="http://schemas.openxmlformats.org/officeDocument/2006/relationships/hyperlink" Target="http://www.waizi.org.cn/news/1032.html" TargetMode="External"/><Relationship Id="rId38" Type="http://schemas.openxmlformats.org/officeDocument/2006/relationships/hyperlink" Target="http://www.waizi.org.cn/law/3845.html" TargetMode="External"/><Relationship Id="rId59" Type="http://schemas.openxmlformats.org/officeDocument/2006/relationships/hyperlink" Target="http://www.shui5.cn/article/9f/120568.html" TargetMode="External"/><Relationship Id="rId103" Type="http://schemas.openxmlformats.org/officeDocument/2006/relationships/hyperlink" Target="https://www.tuliu.com/baike/list-c3" TargetMode="External"/><Relationship Id="rId108" Type="http://schemas.openxmlformats.org/officeDocument/2006/relationships/hyperlink" Target="http://www.gov.cn/xinwen/2017-05/11/5192975/files/b25dbb9901a54ac7b1013f7be5fcd062.doc" TargetMode="External"/><Relationship Id="rId124" Type="http://schemas.openxmlformats.org/officeDocument/2006/relationships/hyperlink" Target="https://www.tuliu.com/gongying/gongyuanyulvdi/" TargetMode="External"/><Relationship Id="rId129" Type="http://schemas.openxmlformats.org/officeDocument/2006/relationships/hyperlink" Target="http://so.askci.com/cse/search?q=%E5%8D%81%E4%B8%89%E4%BA%94&amp;s=1090085531342264480&amp;nsid=6&amp;" TargetMode="External"/><Relationship Id="rId20" Type="http://schemas.openxmlformats.org/officeDocument/2006/relationships/hyperlink" Target="http://www.shui5.cn/article/ff/70300.html" TargetMode="External"/><Relationship Id="rId41" Type="http://schemas.openxmlformats.org/officeDocument/2006/relationships/hyperlink" Target="http://www.waizi.org.cn/law/13134.html" TargetMode="External"/><Relationship Id="rId54" Type="http://schemas.openxmlformats.org/officeDocument/2006/relationships/hyperlink" Target="http://www.tanpaifang.com/tanzichanguanli/" TargetMode="External"/><Relationship Id="rId62" Type="http://schemas.openxmlformats.org/officeDocument/2006/relationships/hyperlink" Target="http://www.shui5.cn/article/9f/120568.html" TargetMode="External"/><Relationship Id="rId70" Type="http://schemas.openxmlformats.org/officeDocument/2006/relationships/hyperlink" Target="http://www.shui5.cn/article/9f/120568.html" TargetMode="External"/><Relationship Id="rId75" Type="http://schemas.openxmlformats.org/officeDocument/2006/relationships/hyperlink" Target="http://www.shui5.cn/article/9f/120568.html" TargetMode="External"/><Relationship Id="rId83" Type="http://schemas.openxmlformats.org/officeDocument/2006/relationships/hyperlink" Target="http://www.amac.org.cn/cms/contentcore/resource/download?ID=2919" TargetMode="External"/><Relationship Id="rId88" Type="http://schemas.openxmlformats.org/officeDocument/2006/relationships/hyperlink" Target="https://www.tuliu.com/tags/310.html" TargetMode="External"/><Relationship Id="rId91" Type="http://schemas.openxmlformats.org/officeDocument/2006/relationships/hyperlink" Target="https://www.tuliu.com/tags/326.html" TargetMode="External"/><Relationship Id="rId96" Type="http://schemas.openxmlformats.org/officeDocument/2006/relationships/hyperlink" Target="https://www.tuliu.com/tags/76.html" TargetMode="External"/><Relationship Id="rId111" Type="http://schemas.openxmlformats.org/officeDocument/2006/relationships/hyperlink" Target="https://www.tuliu.com/tags/334.html" TargetMode="External"/><Relationship Id="rId132" Type="http://schemas.openxmlformats.org/officeDocument/2006/relationships/hyperlink" Target="http://www.askci.com/reports/2016/03/04/054836482154.shtml" TargetMode="External"/><Relationship Id="rId140" Type="http://schemas.openxmlformats.org/officeDocument/2006/relationships/hyperlink" Target="http://www.askci.com/reports/20180110/1746265433822457.shtml" TargetMode="External"/><Relationship Id="rId145" Type="http://schemas.openxmlformats.org/officeDocument/2006/relationships/hyperlink" Target="http://www.askci.com/reports/20171229/0921237326821451.shtml" TargetMode="External"/><Relationship Id="rId153" Type="http://schemas.openxmlformats.org/officeDocument/2006/relationships/hyperlink" Target="http://www.askci.com/reports/2014/12/31/95025yzwv.s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shui5.cn/article/20/77913.html" TargetMode="External"/><Relationship Id="rId23" Type="http://schemas.openxmlformats.org/officeDocument/2006/relationships/hyperlink" Target="http://www.shui5.cn/article/00/76838.html" TargetMode="External"/><Relationship Id="rId28" Type="http://schemas.openxmlformats.org/officeDocument/2006/relationships/hyperlink" Target="http://www.waizi.org.cn/law/11865.html" TargetMode="External"/><Relationship Id="rId36" Type="http://schemas.openxmlformats.org/officeDocument/2006/relationships/hyperlink" Target="http://www.waizi.org.cn/law/18146.html" TargetMode="External"/><Relationship Id="rId49" Type="http://schemas.openxmlformats.org/officeDocument/2006/relationships/hyperlink" Target="http://www.tanpaifang.com/xinnengyuan/" TargetMode="External"/><Relationship Id="rId57" Type="http://schemas.openxmlformats.org/officeDocument/2006/relationships/hyperlink" Target="http://www.shui5.cn/article/9f/120568.html" TargetMode="External"/><Relationship Id="rId106" Type="http://schemas.openxmlformats.org/officeDocument/2006/relationships/hyperlink" Target="https://www.tuliu.com/news/list-c129" TargetMode="External"/><Relationship Id="rId114" Type="http://schemas.openxmlformats.org/officeDocument/2006/relationships/hyperlink" Target="https://www.tuliu.com/news/list-c10" TargetMode="External"/><Relationship Id="rId119" Type="http://schemas.openxmlformats.org/officeDocument/2006/relationships/hyperlink" Target="https://www.tuliu.com/tags/54.html" TargetMode="External"/><Relationship Id="rId127" Type="http://schemas.openxmlformats.org/officeDocument/2006/relationships/hyperlink" Target="https://www.tuliu.com/gongying/huangdi/" TargetMode="External"/><Relationship Id="rId10" Type="http://schemas.openxmlformats.org/officeDocument/2006/relationships/hyperlink" Target="http://www.shui5.cn/article/10/76418.html" TargetMode="External"/><Relationship Id="rId31" Type="http://schemas.openxmlformats.org/officeDocument/2006/relationships/hyperlink" Target="http://www.waizi.org.cn/law/13134.html" TargetMode="External"/><Relationship Id="rId44" Type="http://schemas.openxmlformats.org/officeDocument/2006/relationships/hyperlink" Target="http://www.waizi.org.cn/news/1032.html" TargetMode="External"/><Relationship Id="rId52" Type="http://schemas.openxmlformats.org/officeDocument/2006/relationships/hyperlink" Target="http://www.tanpaifang.com/nenyuanguanli/" TargetMode="External"/><Relationship Id="rId60" Type="http://schemas.openxmlformats.org/officeDocument/2006/relationships/hyperlink" Target="http://www.shui5.cn/article/9f/120568.html" TargetMode="External"/><Relationship Id="rId65" Type="http://schemas.openxmlformats.org/officeDocument/2006/relationships/hyperlink" Target="http://www.shui5.cn/article/9f/120568.html" TargetMode="External"/><Relationship Id="rId73" Type="http://schemas.openxmlformats.org/officeDocument/2006/relationships/hyperlink" Target="http://www.shui5.cn/article/9f/120568.html" TargetMode="External"/><Relationship Id="rId78" Type="http://schemas.openxmlformats.org/officeDocument/2006/relationships/hyperlink" Target="mailto:sseabs@sse.com.cn" TargetMode="External"/><Relationship Id="rId81" Type="http://schemas.openxmlformats.org/officeDocument/2006/relationships/hyperlink" Target="http://www.amac.org.cn/cms/contentcore/resource/download?ID=2917" TargetMode="External"/><Relationship Id="rId86" Type="http://schemas.openxmlformats.org/officeDocument/2006/relationships/hyperlink" Target="http://www.amac.org.cn/cms/contentcore/resource/download?ID=2924" TargetMode="External"/><Relationship Id="rId94" Type="http://schemas.openxmlformats.org/officeDocument/2006/relationships/hyperlink" Target="https://www.tuliu.com/tags/295.html" TargetMode="External"/><Relationship Id="rId99" Type="http://schemas.openxmlformats.org/officeDocument/2006/relationships/hyperlink" Target="https://www.tuliu.com/tags/102.html" TargetMode="External"/><Relationship Id="rId101" Type="http://schemas.openxmlformats.org/officeDocument/2006/relationships/hyperlink" Target="https://www.tuliu.com/" TargetMode="External"/><Relationship Id="rId122" Type="http://schemas.openxmlformats.org/officeDocument/2006/relationships/hyperlink" Target="https://www.tuliu.com/tags/27.html" TargetMode="External"/><Relationship Id="rId130" Type="http://schemas.openxmlformats.org/officeDocument/2006/relationships/hyperlink" Target="http://www.askci.com/reports/2015/09/02/114401446527.shtml" TargetMode="External"/><Relationship Id="rId135" Type="http://schemas.openxmlformats.org/officeDocument/2006/relationships/hyperlink" Target="http://www.askci.com/reports/2015/05/11/1421115d1t.shtml" TargetMode="External"/><Relationship Id="rId143" Type="http://schemas.openxmlformats.org/officeDocument/2006/relationships/hyperlink" Target="http://www.askci.com/reports/20161123/1638367816743821.shtml" TargetMode="External"/><Relationship Id="rId148" Type="http://schemas.openxmlformats.org/officeDocument/2006/relationships/hyperlink" Target="http://www.askci.com/reports/2014/09/26/940515evi.shtml" TargetMode="External"/><Relationship Id="rId151" Type="http://schemas.openxmlformats.org/officeDocument/2006/relationships/hyperlink" Target="http://www.askci.com/reports/2015/01/04/93252gaiv.shtml" TargetMode="External"/><Relationship Id="rId156" Type="http://schemas.openxmlformats.org/officeDocument/2006/relationships/hyperlink" Target="http://money.163.com/keywords/8/e/82e55e72610f89c1/1.html" TargetMode="External"/><Relationship Id="rId4" Type="http://schemas.microsoft.com/office/2007/relationships/stylesWithEffects" Target="stylesWithEffects.xml"/><Relationship Id="rId9" Type="http://schemas.openxmlformats.org/officeDocument/2006/relationships/hyperlink" Target="http://www.shui5.cn/article/10/76418.html" TargetMode="External"/><Relationship Id="rId13" Type="http://schemas.openxmlformats.org/officeDocument/2006/relationships/hyperlink" Target="http://www.shui5.cn/article/a1/50146.html" TargetMode="External"/><Relationship Id="rId18" Type="http://schemas.openxmlformats.org/officeDocument/2006/relationships/hyperlink" Target="http://www.shui5.cn/article/c0/76642.html" TargetMode="External"/><Relationship Id="rId39" Type="http://schemas.openxmlformats.org/officeDocument/2006/relationships/hyperlink" Target="http://www.waizi.org.cn/law/11865.html" TargetMode="External"/><Relationship Id="rId109" Type="http://schemas.openxmlformats.org/officeDocument/2006/relationships/hyperlink" Target="https://www.tuliu.com/tags/346.html" TargetMode="External"/><Relationship Id="rId34" Type="http://schemas.openxmlformats.org/officeDocument/2006/relationships/hyperlink" Target="http://www.waizi.org.cn/law/18146.html" TargetMode="External"/><Relationship Id="rId50" Type="http://schemas.openxmlformats.org/officeDocument/2006/relationships/hyperlink" Target="http://www.tanpaifang.com/zhuanti/tanjiaoyishidian.html" TargetMode="External"/><Relationship Id="rId55" Type="http://schemas.openxmlformats.org/officeDocument/2006/relationships/hyperlink" Target="http://www.tanjiaoyi.org.cn/" TargetMode="External"/><Relationship Id="rId76" Type="http://schemas.openxmlformats.org/officeDocument/2006/relationships/hyperlink" Target="http://www.shui5.cn/article/9f/120568.html" TargetMode="External"/><Relationship Id="rId97" Type="http://schemas.openxmlformats.org/officeDocument/2006/relationships/hyperlink" Target="https://www.tuliu.com/tags/54.html" TargetMode="External"/><Relationship Id="rId104" Type="http://schemas.openxmlformats.org/officeDocument/2006/relationships/hyperlink" Target="https://www.tuliu.com/tags/283.html" TargetMode="External"/><Relationship Id="rId120" Type="http://schemas.openxmlformats.org/officeDocument/2006/relationships/hyperlink" Target="https://www.tuliu.com/news/list-c166" TargetMode="External"/><Relationship Id="rId125" Type="http://schemas.openxmlformats.org/officeDocument/2006/relationships/hyperlink" Target="https://www.tuliu.com/service/list.html" TargetMode="External"/><Relationship Id="rId141" Type="http://schemas.openxmlformats.org/officeDocument/2006/relationships/hyperlink" Target="http://www.askci.com/reports/20180302/1622503176829518.shtml" TargetMode="External"/><Relationship Id="rId146" Type="http://schemas.openxmlformats.org/officeDocument/2006/relationships/hyperlink" Target="http://www.askci.com/reports/20180310/1626393634830367.shtml" TargetMode="External"/><Relationship Id="rId7" Type="http://schemas.openxmlformats.org/officeDocument/2006/relationships/footnotes" Target="footnotes.xml"/><Relationship Id="rId71" Type="http://schemas.openxmlformats.org/officeDocument/2006/relationships/hyperlink" Target="http://www.shui5.cn/article/9f/120568.html" TargetMode="External"/><Relationship Id="rId92" Type="http://schemas.openxmlformats.org/officeDocument/2006/relationships/hyperlink" Target="https://www.tuliu.com/tags/137.html" TargetMode="External"/><Relationship Id="rId2" Type="http://schemas.openxmlformats.org/officeDocument/2006/relationships/numbering" Target="numbering.xml"/><Relationship Id="rId29" Type="http://schemas.openxmlformats.org/officeDocument/2006/relationships/hyperlink" Target="http://www.waizi.org.cn/law/12287.html" TargetMode="External"/><Relationship Id="rId24" Type="http://schemas.openxmlformats.org/officeDocument/2006/relationships/hyperlink" Target="http://www.gov.cn/zhengce/content/2016-09/20/content_5109936.htm" TargetMode="External"/><Relationship Id="rId40" Type="http://schemas.openxmlformats.org/officeDocument/2006/relationships/hyperlink" Target="http://www.waizi.org.cn/law/12287.html" TargetMode="External"/><Relationship Id="rId45" Type="http://schemas.openxmlformats.org/officeDocument/2006/relationships/image" Target="media/image1.jpeg"/><Relationship Id="rId66" Type="http://schemas.openxmlformats.org/officeDocument/2006/relationships/hyperlink" Target="http://www.shui5.cn/article/9f/120568.html" TargetMode="External"/><Relationship Id="rId87" Type="http://schemas.openxmlformats.org/officeDocument/2006/relationships/hyperlink" Target="https://www.tuliu.com/tags/314.html" TargetMode="External"/><Relationship Id="rId110" Type="http://schemas.openxmlformats.org/officeDocument/2006/relationships/hyperlink" Target="https://www.tuliu.com/tags/118.html" TargetMode="External"/><Relationship Id="rId115" Type="http://schemas.openxmlformats.org/officeDocument/2006/relationships/hyperlink" Target="https://www.tuliu.com/tags/328.html" TargetMode="External"/><Relationship Id="rId131" Type="http://schemas.openxmlformats.org/officeDocument/2006/relationships/hyperlink" Target="http://www.askci.com/reports/20161128/1739484692745855.shtml" TargetMode="External"/><Relationship Id="rId136" Type="http://schemas.openxmlformats.org/officeDocument/2006/relationships/hyperlink" Target="http://www.askci.com/reports/20171123/1422206051818906.shtml" TargetMode="External"/><Relationship Id="rId157" Type="http://schemas.openxmlformats.org/officeDocument/2006/relationships/fontTable" Target="fontTable.xml"/><Relationship Id="rId61" Type="http://schemas.openxmlformats.org/officeDocument/2006/relationships/hyperlink" Target="http://www.shui5.cn/article/9f/120568.html" TargetMode="External"/><Relationship Id="rId82" Type="http://schemas.openxmlformats.org/officeDocument/2006/relationships/hyperlink" Target="http://www.amac.org.cn/cms/contentcore/resource/download?ID=2918" TargetMode="External"/><Relationship Id="rId152" Type="http://schemas.openxmlformats.org/officeDocument/2006/relationships/hyperlink" Target="http://www.askci.com/reports/2016/02/18/105609566296.shtml" TargetMode="External"/><Relationship Id="rId19" Type="http://schemas.openxmlformats.org/officeDocument/2006/relationships/hyperlink" Target="http://www.shui5.cn/article/ff/70300.html" TargetMode="External"/><Relationship Id="rId14" Type="http://schemas.openxmlformats.org/officeDocument/2006/relationships/hyperlink" Target="http://www.shui5.cn/article/a1/50146.html" TargetMode="External"/><Relationship Id="rId30" Type="http://schemas.openxmlformats.org/officeDocument/2006/relationships/hyperlink" Target="http://www.waizi.org.cn/law/13134.html" TargetMode="External"/><Relationship Id="rId35" Type="http://schemas.openxmlformats.org/officeDocument/2006/relationships/hyperlink" Target="http://www.waizi.org.cn/law/18146.html" TargetMode="External"/><Relationship Id="rId56" Type="http://schemas.openxmlformats.org/officeDocument/2006/relationships/hyperlink" Target="http://www.tanpaifang.com/" TargetMode="External"/><Relationship Id="rId77" Type="http://schemas.openxmlformats.org/officeDocument/2006/relationships/hyperlink" Target="http://www.shui5.cn/article/9f/120568.html" TargetMode="External"/><Relationship Id="rId100" Type="http://schemas.openxmlformats.org/officeDocument/2006/relationships/hyperlink" Target="https://www.tuliu.com/news/list-c166" TargetMode="External"/><Relationship Id="rId105" Type="http://schemas.openxmlformats.org/officeDocument/2006/relationships/hyperlink" Target="https://www.tuliu.com/tags/16.html" TargetMode="External"/><Relationship Id="rId126" Type="http://schemas.openxmlformats.org/officeDocument/2006/relationships/hyperlink" Target="https://www.tuliu.com/news/list-c10" TargetMode="External"/><Relationship Id="rId147" Type="http://schemas.openxmlformats.org/officeDocument/2006/relationships/hyperlink" Target="http://www.askci.com/reports/20180312/1107527753830424.shtml" TargetMode="External"/><Relationship Id="rId8" Type="http://schemas.openxmlformats.org/officeDocument/2006/relationships/endnotes" Target="endnotes.xml"/><Relationship Id="rId51" Type="http://schemas.openxmlformats.org/officeDocument/2006/relationships/hyperlink" Target="http://www.tanpaifang.com/lvsejianzhu" TargetMode="External"/><Relationship Id="rId72" Type="http://schemas.openxmlformats.org/officeDocument/2006/relationships/hyperlink" Target="http://www.shui5.cn/article/9f/120568.html" TargetMode="External"/><Relationship Id="rId93" Type="http://schemas.openxmlformats.org/officeDocument/2006/relationships/hyperlink" Target="https://www.tuliu.com/pinggu" TargetMode="External"/><Relationship Id="rId98" Type="http://schemas.openxmlformats.org/officeDocument/2006/relationships/hyperlink" Target="https://www.tuliu.com/tags/107.html" TargetMode="External"/><Relationship Id="rId121" Type="http://schemas.openxmlformats.org/officeDocument/2006/relationships/hyperlink" Target="https://www.tuliu.com/tags/55.html" TargetMode="External"/><Relationship Id="rId142" Type="http://schemas.openxmlformats.org/officeDocument/2006/relationships/hyperlink" Target="http://www.askci.com/reports/20180228/1126467146829320.shtml" TargetMode="External"/><Relationship Id="rId3" Type="http://schemas.openxmlformats.org/officeDocument/2006/relationships/styles" Target="styles.xml"/><Relationship Id="rId25" Type="http://schemas.openxmlformats.org/officeDocument/2006/relationships/hyperlink" Target="http://www.gov.cn/zhengce/content/2014-11/26/content_9260.htm" TargetMode="External"/><Relationship Id="rId46" Type="http://schemas.openxmlformats.org/officeDocument/2006/relationships/image" Target="media/image2.jpeg"/><Relationship Id="rId67" Type="http://schemas.openxmlformats.org/officeDocument/2006/relationships/hyperlink" Target="http://www.shui5.cn/article/9f/120568.html" TargetMode="External"/><Relationship Id="rId116" Type="http://schemas.openxmlformats.org/officeDocument/2006/relationships/hyperlink" Target="https://www.tuliu.com/tags/111.html" TargetMode="External"/><Relationship Id="rId137" Type="http://schemas.openxmlformats.org/officeDocument/2006/relationships/hyperlink" Target="http://www.askci.com/reports/2014/09/11/173450znn.shtml" TargetMode="External"/><Relationship Id="rId15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02E75-F730-4713-82C7-C179EC47D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881</TotalTime>
  <Pages>856</Pages>
  <Words>67323</Words>
  <Characters>383744</Characters>
  <Application>Microsoft Office Word</Application>
  <DocSecurity>0</DocSecurity>
  <Lines>3197</Lines>
  <Paragraphs>900</Paragraphs>
  <ScaleCrop>false</ScaleCrop>
  <Company/>
  <LinksUpToDate>false</LinksUpToDate>
  <CharactersWithSpaces>450167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政府和社会资本合作（PPP）法律法规、政策汇编</dc:title>
  <dc:subject/>
  <dc:creator>马胜/风险管理部/集团</dc:creator>
  <cp:keywords/>
  <dc:description/>
  <cp:lastModifiedBy>马胜/风险管理部/集团</cp:lastModifiedBy>
  <cp:revision>13</cp:revision>
  <dcterms:created xsi:type="dcterms:W3CDTF">2019-06-18T06:19:00Z</dcterms:created>
  <dcterms:modified xsi:type="dcterms:W3CDTF">2019-07-01T01:04:00Z</dcterms:modified>
</cp:coreProperties>
</file>